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726470AE" w:rsidR="007D6B0A" w:rsidRPr="007D6B0A" w:rsidRDefault="007D6B0A" w:rsidP="007D6B0A">
      <w:pPr>
        <w:spacing w:after="120"/>
        <w:ind w:left="1985" w:hanging="1985"/>
        <w:rPr>
          <w:rFonts w:ascii="Arial" w:hAnsi="Arial"/>
          <w:b/>
          <w:i/>
          <w:noProof/>
          <w:sz w:val="24"/>
        </w:rPr>
      </w:pPr>
      <w:r w:rsidRPr="007D6B0A">
        <w:rPr>
          <w:rFonts w:ascii="Arial" w:hAnsi="Arial"/>
          <w:b/>
          <w:noProof/>
          <w:sz w:val="24"/>
        </w:rPr>
        <w:t>3GPP TSG-SA WG4 Meeting #13</w:t>
      </w:r>
      <w:r w:rsidR="00DB43A7">
        <w:rPr>
          <w:rFonts w:ascii="Arial" w:hAnsi="Arial"/>
          <w:b/>
          <w:noProof/>
          <w:sz w:val="24"/>
        </w:rPr>
        <w:t>2</w:t>
      </w:r>
      <w:r w:rsidRPr="007D6B0A">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7D6B0A">
        <w:rPr>
          <w:rFonts w:ascii="Arial" w:hAnsi="Arial"/>
          <w:b/>
          <w:bCs/>
          <w:noProof/>
          <w:sz w:val="24"/>
        </w:rPr>
        <w:t>S4-</w:t>
      </w:r>
      <w:r w:rsidR="006B285A" w:rsidRPr="006B285A">
        <w:rPr>
          <w:rFonts w:ascii="Arial" w:hAnsi="Arial"/>
          <w:b/>
          <w:bCs/>
          <w:noProof/>
          <w:sz w:val="24"/>
        </w:rPr>
        <w:t>251003</w:t>
      </w:r>
    </w:p>
    <w:p w14:paraId="50F86234" w14:textId="77777777" w:rsidR="00DB43A7" w:rsidRPr="00DB43A7" w:rsidRDefault="00DB43A7" w:rsidP="00DB43A7">
      <w:pPr>
        <w:spacing w:after="120"/>
        <w:ind w:left="1985" w:hanging="1985"/>
        <w:rPr>
          <w:rFonts w:ascii="Arial" w:hAnsi="Arial"/>
          <w:b/>
          <w:noProof/>
          <w:sz w:val="24"/>
        </w:rPr>
      </w:pPr>
      <w:r w:rsidRPr="00DB43A7">
        <w:rPr>
          <w:rFonts w:ascii="Arial" w:hAnsi="Arial"/>
          <w:b/>
          <w:noProof/>
          <w:sz w:val="24"/>
        </w:rPr>
        <w:t>Japan, Fukuoka, 19 – 23 May 2025</w:t>
      </w:r>
    </w:p>
    <w:p w14:paraId="7146E855" w14:textId="77777777" w:rsidR="00DD40D2" w:rsidRPr="007B5456" w:rsidRDefault="00DD40D2">
      <w:pPr>
        <w:spacing w:after="120"/>
        <w:ind w:left="1985" w:hanging="1985"/>
        <w:rPr>
          <w:rFonts w:ascii="Arial" w:hAnsi="Arial" w:cs="Arial"/>
          <w:bCs/>
        </w:rPr>
      </w:pPr>
    </w:p>
    <w:p w14:paraId="484BE995" w14:textId="1984B6C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E3641">
        <w:rPr>
          <w:rFonts w:ascii="Arial" w:hAnsi="Arial" w:cs="Arial"/>
          <w:b/>
          <w:bCs/>
        </w:rPr>
        <w:t>HEAD acoustics GmbH</w:t>
      </w:r>
    </w:p>
    <w:p w14:paraId="234CD7C4" w14:textId="46C7C7D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3344B">
        <w:rPr>
          <w:rFonts w:ascii="Arial" w:hAnsi="Arial" w:cs="Arial"/>
          <w:b/>
          <w:bCs/>
        </w:rPr>
        <w:t>Analysis of n</w:t>
      </w:r>
      <w:r w:rsidR="000104AF">
        <w:rPr>
          <w:rFonts w:ascii="Arial" w:hAnsi="Arial" w:cs="Arial"/>
          <w:b/>
          <w:bCs/>
        </w:rPr>
        <w:t>ominal send loudness rating</w:t>
      </w:r>
    </w:p>
    <w:p w14:paraId="55FE3D7D" w14:textId="7615F2F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A2DE3">
        <w:rPr>
          <w:rFonts w:ascii="Arial" w:hAnsi="Arial" w:cs="Arial"/>
          <w:b/>
          <w:bCs/>
        </w:rPr>
        <w:t>7</w:t>
      </w:r>
      <w:r>
        <w:rPr>
          <w:rFonts w:ascii="Arial" w:hAnsi="Arial" w:cs="Arial"/>
          <w:b/>
          <w:bCs/>
        </w:rPr>
        <w:t>.</w:t>
      </w:r>
      <w:r w:rsidR="00AA2DE3">
        <w:rPr>
          <w:rFonts w:ascii="Arial" w:hAnsi="Arial" w:cs="Arial"/>
          <w:b/>
          <w:bCs/>
        </w:rPr>
        <w:t>7</w:t>
      </w:r>
    </w:p>
    <w:p w14:paraId="1589C299" w14:textId="2B99256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B3324FA" w14:textId="45270816" w:rsidR="00EE3641" w:rsidRDefault="00EE3641" w:rsidP="00F94786">
      <w:pPr>
        <w:pStyle w:val="Heading1"/>
      </w:pPr>
      <w:r>
        <w:t>Introduction</w:t>
      </w:r>
    </w:p>
    <w:p w14:paraId="4C21CCA5" w14:textId="384C77A9" w:rsidR="00EE3641" w:rsidRPr="00F94786" w:rsidRDefault="00FA196A" w:rsidP="00F94786">
      <w:r>
        <w:t xml:space="preserve">For the loudness in send direction of IVAS-capable UEs, it is </w:t>
      </w:r>
      <w:r w:rsidRPr="00F94786">
        <w:t>currently specifie</w:t>
      </w:r>
      <w:r>
        <w:t xml:space="preserve">d in </w:t>
      </w:r>
      <w:r w:rsidR="00EE3641" w:rsidRPr="00F94786">
        <w:t>3GPP TS 26.261:</w:t>
      </w:r>
    </w:p>
    <w:p w14:paraId="3207AC08" w14:textId="77777777" w:rsidR="00EE3641" w:rsidRDefault="00EE3641" w:rsidP="00EE3641"/>
    <w:p w14:paraId="5D9C112B" w14:textId="4E266543" w:rsidR="00EE3641" w:rsidRPr="00F94786" w:rsidRDefault="00EE3641" w:rsidP="00EE3641">
      <w:pPr>
        <w:rPr>
          <w:i/>
          <w:iCs/>
        </w:rPr>
      </w:pPr>
      <w:r w:rsidRPr="00F94786">
        <w:rPr>
          <w:i/>
          <w:iCs/>
        </w:rPr>
        <w:t xml:space="preserve">The nominal values of SLR to the POI shall be: SLR = 13 </w:t>
      </w:r>
      <w:r w:rsidRPr="00F94786">
        <w:rPr>
          <w:i/>
          <w:iCs/>
          <w:color w:val="000000"/>
        </w:rPr>
        <w:t>±</w:t>
      </w:r>
      <w:r w:rsidRPr="00F94786">
        <w:rPr>
          <w:i/>
          <w:iCs/>
        </w:rPr>
        <w:t xml:space="preserve"> 3 dB</w:t>
      </w:r>
    </w:p>
    <w:p w14:paraId="608E4CD5" w14:textId="77777777" w:rsidR="00EE3641" w:rsidRPr="00F94786" w:rsidRDefault="00EE3641" w:rsidP="00EE3641">
      <w:pPr>
        <w:rPr>
          <w:i/>
          <w:iCs/>
        </w:rPr>
      </w:pPr>
    </w:p>
    <w:p w14:paraId="474B8B0B" w14:textId="77777777" w:rsidR="00EE3641" w:rsidRPr="00F94786" w:rsidRDefault="00EE3641" w:rsidP="00EE3641">
      <w:pPr>
        <w:pStyle w:val="NO"/>
        <w:rPr>
          <w:i/>
          <w:iCs/>
        </w:rPr>
      </w:pPr>
      <w:r w:rsidRPr="00F94786">
        <w:rPr>
          <w:i/>
          <w:iCs/>
        </w:rPr>
        <w:t>NOTE: The value of 13 dB is motivated by the corresponding SLR requirement for desktop hands-free and handheld hands-free in TS 26.131 [4].</w:t>
      </w:r>
    </w:p>
    <w:p w14:paraId="2EA76BC4" w14:textId="4B416E52" w:rsidR="00326AF5" w:rsidRDefault="000104AF" w:rsidP="00F94786">
      <w:r>
        <w:t>Even though not (yet) supported by real IVAS-capable terminals, t</w:t>
      </w:r>
      <w:r w:rsidR="00F94786" w:rsidRPr="00F94786">
        <w:t xml:space="preserve">his </w:t>
      </w:r>
      <w:r w:rsidR="00630E5C">
        <w:t>requirement seems to be chosen in a reasonable way, as it provides level compatibility with traditional mono telephony. However, the calculation of</w:t>
      </w:r>
      <w:r w:rsidR="00FA196A">
        <w:t xml:space="preserve"> Send Loudness Rating</w:t>
      </w:r>
      <w:r w:rsidR="00630E5C">
        <w:t xml:space="preserve"> </w:t>
      </w:r>
      <w:r w:rsidR="00FA196A">
        <w:t>(</w:t>
      </w:r>
      <w:r w:rsidR="00630E5C">
        <w:t>SLR</w:t>
      </w:r>
      <w:r w:rsidR="00FA196A">
        <w:t>)</w:t>
      </w:r>
      <w:r w:rsidR="00630E5C">
        <w:t xml:space="preserve"> is based on the electro-acoustical transfer function from an acoustic signal at MRP (in dBPa) to an </w:t>
      </w:r>
      <w:r w:rsidR="00630E5C" w:rsidRPr="00630E5C">
        <w:rPr>
          <w:b/>
          <w:bCs/>
        </w:rPr>
        <w:t>analogue voltage</w:t>
      </w:r>
      <w:r w:rsidR="00630E5C">
        <w:t xml:space="preserve"> </w:t>
      </w:r>
      <w:r w:rsidR="00326AF5">
        <w:t xml:space="preserve">(in dBV) </w:t>
      </w:r>
      <w:r w:rsidR="00630E5C">
        <w:t>at the POI</w:t>
      </w:r>
      <w:r w:rsidR="00326AF5">
        <w:t xml:space="preserve">, which originates from </w:t>
      </w:r>
      <w:r w:rsidR="00630E5C">
        <w:t xml:space="preserve">the </w:t>
      </w:r>
      <w:r w:rsidR="00326AF5">
        <w:t xml:space="preserve">times of analogue </w:t>
      </w:r>
      <w:r w:rsidR="00AC22EB">
        <w:t>telephone</w:t>
      </w:r>
      <w:r w:rsidR="00326AF5">
        <w:t xml:space="preserve"> networks. </w:t>
      </w:r>
    </w:p>
    <w:p w14:paraId="45C3D31B" w14:textId="77777777" w:rsidR="00326AF5" w:rsidRDefault="00326AF5" w:rsidP="00F94786"/>
    <w:p w14:paraId="698B484D" w14:textId="0D16CA55" w:rsidR="002344B7" w:rsidRDefault="00326AF5" w:rsidP="00F94786">
      <w:r>
        <w:t xml:space="preserve">To adapt measures like SLR also for </w:t>
      </w:r>
      <w:r w:rsidR="00630E5C">
        <w:t xml:space="preserve">digital </w:t>
      </w:r>
      <w:r w:rsidR="00AC22EB">
        <w:t>telephone</w:t>
      </w:r>
      <w:r>
        <w:t xml:space="preserve"> </w:t>
      </w:r>
      <w:r w:rsidR="00630E5C">
        <w:t xml:space="preserve">networks, existing </w:t>
      </w:r>
      <w:r>
        <w:t xml:space="preserve">analogue network </w:t>
      </w:r>
      <w:r w:rsidR="00630E5C">
        <w:t xml:space="preserve">levels </w:t>
      </w:r>
      <w:r>
        <w:t>were referenced to the digital world by the concept of an "intermediate level", measured in dBm0 and can be considered as a</w:t>
      </w:r>
      <w:r w:rsidR="002344B7">
        <w:t xml:space="preserve"> "gateway" between</w:t>
      </w:r>
      <w:r>
        <w:t xml:space="preserve"> analogue </w:t>
      </w:r>
      <w:r w:rsidR="002344B7">
        <w:t xml:space="preserve">and </w:t>
      </w:r>
      <w:r>
        <w:t xml:space="preserve">digital </w:t>
      </w:r>
      <w:r w:rsidR="002344B7">
        <w:t>signals (see Recommendation ITU-T G.100.1 for details):</w:t>
      </w:r>
    </w:p>
    <w:p w14:paraId="17C9415E" w14:textId="65ECCC8A" w:rsidR="002344B7" w:rsidRPr="00F95758" w:rsidRDefault="002344B7" w:rsidP="00F95758">
      <w:pPr>
        <w:pStyle w:val="ListParagraph"/>
        <w:numPr>
          <w:ilvl w:val="0"/>
          <w:numId w:val="8"/>
        </w:numPr>
      </w:pPr>
      <w:r w:rsidRPr="00F95758">
        <w:t xml:space="preserve">for the analogue side, a signal </w:t>
      </w:r>
      <w:r w:rsidR="00C13BF9" w:rsidRPr="00F95758">
        <w:t xml:space="preserve">power </w:t>
      </w:r>
      <w:r w:rsidRPr="00F95758">
        <w:t xml:space="preserve">of 0 dBm0 </w:t>
      </w:r>
      <w:r w:rsidR="00C13BF9" w:rsidRPr="00F95758">
        <w:t>corresponds to an electrical power of 1 mW. Assuming a nominal impedance of 600 Ω, this corresponds to an RMS amplitude of 0.775 V.</w:t>
      </w:r>
    </w:p>
    <w:p w14:paraId="2F5076F5" w14:textId="325BB063" w:rsidR="00326AF5" w:rsidRPr="00F95758" w:rsidRDefault="00C13BF9" w:rsidP="00F95758">
      <w:pPr>
        <w:pStyle w:val="ListParagraph"/>
        <w:numPr>
          <w:ilvl w:val="0"/>
          <w:numId w:val="8"/>
        </w:numPr>
      </w:pPr>
      <w:r w:rsidRPr="00F95758">
        <w:t xml:space="preserve">for </w:t>
      </w:r>
      <w:r w:rsidR="002344B7" w:rsidRPr="00F95758">
        <w:t>the digital side</w:t>
      </w:r>
      <w:r w:rsidRPr="00F95758">
        <w:t>, a</w:t>
      </w:r>
      <w:r w:rsidR="002344B7" w:rsidRPr="00F95758">
        <w:t>n additionally defined "overload point"</w:t>
      </w:r>
      <w:r w:rsidRPr="00F95758">
        <w:t xml:space="preserve"> in dBm0 </w:t>
      </w:r>
      <w:r w:rsidR="00114571" w:rsidRPr="00F95758">
        <w:t>corresponds to</w:t>
      </w:r>
      <w:r w:rsidRPr="00F95758">
        <w:t xml:space="preserve"> </w:t>
      </w:r>
      <w:r w:rsidR="00114571" w:rsidRPr="00F95758">
        <w:t>-3.01</w:t>
      </w:r>
      <w:r w:rsidRPr="00F95758">
        <w:t xml:space="preserve"> dBov (</w:t>
      </w:r>
      <w:r w:rsidR="00114571" w:rsidRPr="00F95758">
        <w:t xml:space="preserve">sine tone with maximum amplitude). </w:t>
      </w:r>
    </w:p>
    <w:p w14:paraId="1C1B8842" w14:textId="77777777" w:rsidR="00114571" w:rsidRDefault="00114571" w:rsidP="00F94786"/>
    <w:p w14:paraId="461F5F46" w14:textId="473AE261" w:rsidR="00FA196A" w:rsidRDefault="00114571" w:rsidP="00FA196A">
      <w:r>
        <w:t xml:space="preserve">Historically, it </w:t>
      </w:r>
      <w:r w:rsidRPr="00114571">
        <w:t xml:space="preserve">was </w:t>
      </w:r>
      <w:r w:rsidR="00211AC9" w:rsidRPr="00114571">
        <w:t>intended</w:t>
      </w:r>
      <w:r w:rsidRPr="00114571">
        <w:t xml:space="preserve"> to </w:t>
      </w:r>
      <w:r>
        <w:t xml:space="preserve">have </w:t>
      </w:r>
      <w:r w:rsidRPr="00114571">
        <w:t xml:space="preserve">different </w:t>
      </w:r>
      <w:r>
        <w:t xml:space="preserve">overload points </w:t>
      </w:r>
      <w:r w:rsidRPr="00114571">
        <w:t>for each network and</w:t>
      </w:r>
      <w:r>
        <w:t xml:space="preserve">/or </w:t>
      </w:r>
      <w:r w:rsidRPr="00114571">
        <w:t>each codec</w:t>
      </w:r>
      <w:r w:rsidR="00FA196A">
        <w:t xml:space="preserve"> (</w:t>
      </w:r>
      <w:r w:rsidRPr="00114571">
        <w:t>but actually</w:t>
      </w:r>
      <w:r>
        <w:t xml:space="preserve">, most of the time </w:t>
      </w:r>
      <w:r w:rsidRPr="00114571">
        <w:t xml:space="preserve">3.17 dBm0 </w:t>
      </w:r>
      <w:r>
        <w:t xml:space="preserve">was </w:t>
      </w:r>
      <w:r w:rsidRPr="00114571">
        <w:t xml:space="preserve">used </w:t>
      </w:r>
      <w:r>
        <w:t>until today</w:t>
      </w:r>
      <w:r w:rsidR="00FA196A">
        <w:t>)</w:t>
      </w:r>
      <w:r>
        <w:t>.</w:t>
      </w:r>
      <w:r w:rsidR="00FA196A">
        <w:t xml:space="preserve"> </w:t>
      </w:r>
      <w:r w:rsidR="00326AF5">
        <w:t>The present document investigates if the</w:t>
      </w:r>
      <w:r w:rsidR="00FA196A">
        <w:t>se</w:t>
      </w:r>
      <w:r w:rsidR="00326AF5">
        <w:t xml:space="preserve"> "historical" level definitions are still compatible with </w:t>
      </w:r>
      <w:r w:rsidR="00FA196A">
        <w:t>and in general applicable to IVAS-capable UEs.</w:t>
      </w:r>
    </w:p>
    <w:p w14:paraId="02883782" w14:textId="77777777" w:rsidR="00FA196A" w:rsidRDefault="00FA196A" w:rsidP="00FA196A"/>
    <w:p w14:paraId="54F83C05" w14:textId="47634D7D" w:rsidR="00FA196A" w:rsidRDefault="001C3A42" w:rsidP="001C3A42">
      <w:pPr>
        <w:pStyle w:val="Heading1"/>
      </w:pPr>
      <w:r>
        <w:t>Test setup</w:t>
      </w:r>
    </w:p>
    <w:p w14:paraId="6490793C" w14:textId="6495777D" w:rsidR="00A16046" w:rsidRDefault="001C3A42" w:rsidP="00FA196A">
      <w:r>
        <w:t xml:space="preserve">A general overview of an acoustic test setup for </w:t>
      </w:r>
      <w:r w:rsidR="00297597">
        <w:t>the evaluation of immersive UEs</w:t>
      </w:r>
      <w:r w:rsidR="00F50469">
        <w:t xml:space="preserve"> in User Capture mode</w:t>
      </w:r>
      <w:r w:rsidR="00297597">
        <w:t xml:space="preserve"> according to TS 26.260/261 </w:t>
      </w:r>
      <w:r>
        <w:t xml:space="preserve">is illustrated </w:t>
      </w:r>
      <w:r w:rsidRPr="00F50469">
        <w:t xml:space="preserve">in </w:t>
      </w:r>
      <w:r w:rsidRPr="00F50469">
        <w:fldChar w:fldCharType="begin"/>
      </w:r>
      <w:r w:rsidRPr="00F50469">
        <w:instrText xml:space="preserve"> REF _Ref197989349 \h </w:instrText>
      </w:r>
      <w:r w:rsidRPr="00F50469">
        <w:fldChar w:fldCharType="separate"/>
      </w:r>
      <w:r w:rsidR="00AC22EB" w:rsidRPr="00F50469">
        <w:t>Figure 1</w:t>
      </w:r>
      <w:r w:rsidRPr="00F50469">
        <w:fldChar w:fldCharType="end"/>
      </w:r>
      <w:r>
        <w:t>.</w:t>
      </w:r>
      <w:r w:rsidR="00297597">
        <w:t xml:space="preserve"> F</w:t>
      </w:r>
      <w:r w:rsidR="001A0759">
        <w:t>or</w:t>
      </w:r>
      <w:r w:rsidR="00297597">
        <w:t xml:space="preserve"> </w:t>
      </w:r>
      <w:r w:rsidR="00D86B72">
        <w:t xml:space="preserve">determining the </w:t>
      </w:r>
      <w:r w:rsidR="00297597">
        <w:t>SLR</w:t>
      </w:r>
      <w:r w:rsidR="00D86B72">
        <w:t xml:space="preserve"> of a UE</w:t>
      </w:r>
      <w:r w:rsidR="00297597">
        <w:t xml:space="preserve">, </w:t>
      </w:r>
      <w:r w:rsidR="00D86B72">
        <w:t xml:space="preserve">the electro-acoustic frequency response from MRP to POI </w:t>
      </w:r>
      <w:r w:rsidR="00476F48">
        <w:t>after downmixing to mono (denoted as POI</w:t>
      </w:r>
      <w:r w:rsidR="00476F48" w:rsidRPr="00476F48">
        <w:rPr>
          <w:vertAlign w:val="subscript"/>
        </w:rPr>
        <w:t>mono</w:t>
      </w:r>
      <w:r w:rsidR="00476F48">
        <w:t xml:space="preserve">) </w:t>
      </w:r>
      <w:r w:rsidR="00D86B72">
        <w:t>is measured in 1/3</w:t>
      </w:r>
      <w:r w:rsidR="00D86B72" w:rsidRPr="00D86B72">
        <w:rPr>
          <w:vertAlign w:val="superscript"/>
        </w:rPr>
        <w:t>rd</w:t>
      </w:r>
      <w:r w:rsidR="00D86B72">
        <w:t xml:space="preserve"> octave bands in the frequency range 100 Hz – 8 kHz and by applying the weights W</w:t>
      </w:r>
      <w:r w:rsidR="00D86B72" w:rsidRPr="00CB7762">
        <w:rPr>
          <w:vertAlign w:val="subscript"/>
        </w:rPr>
        <w:t>S</w:t>
      </w:r>
      <w:r w:rsidR="00D86B72">
        <w:t xml:space="preserve"> from Table A.2 Recommendation ITU-T P.79.</w:t>
      </w:r>
    </w:p>
    <w:p w14:paraId="65A76CB9" w14:textId="77777777" w:rsidR="002903AC" w:rsidRDefault="002903AC" w:rsidP="002903AC">
      <w:pPr>
        <w:keepNext/>
      </w:pPr>
      <w:r>
        <w:rPr>
          <w:noProof/>
        </w:rPr>
        <w:drawing>
          <wp:inline distT="0" distB="0" distL="0" distR="0" wp14:anchorId="62C99FDA" wp14:editId="74519568">
            <wp:extent cx="6258698" cy="2294255"/>
            <wp:effectExtent l="0" t="0" r="8890" b="0"/>
            <wp:docPr id="64712561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125616" name="Graphic 1"/>
                    <pic:cNvPicPr/>
                  </pic:nvPicPr>
                  <pic:blipFill>
                    <a:blip r:embed="rId9">
                      <a:extLst>
                        <a:ext uri="{96DAC541-7B7A-43D3-8B79-37D633B846F1}">
                          <asvg:svgBlip xmlns:asvg="http://schemas.microsoft.com/office/drawing/2016/SVG/main" r:embed="rId10"/>
                        </a:ext>
                      </a:extLst>
                    </a:blip>
                    <a:stretch>
                      <a:fillRect/>
                    </a:stretch>
                  </pic:blipFill>
                  <pic:spPr>
                    <a:xfrm>
                      <a:off x="0" y="0"/>
                      <a:ext cx="6258698" cy="2294255"/>
                    </a:xfrm>
                    <a:prstGeom prst="rect">
                      <a:avLst/>
                    </a:prstGeom>
                  </pic:spPr>
                </pic:pic>
              </a:graphicData>
            </a:graphic>
          </wp:inline>
        </w:drawing>
      </w:r>
    </w:p>
    <w:p w14:paraId="15EA9914" w14:textId="03C68A6D" w:rsidR="00A16046" w:rsidRPr="001C3A42" w:rsidRDefault="002903AC" w:rsidP="001C3A42">
      <w:pPr>
        <w:pStyle w:val="Caption"/>
        <w:jc w:val="center"/>
        <w:rPr>
          <w:rFonts w:ascii="Arial" w:hAnsi="Arial" w:cs="Arial"/>
          <w:b/>
          <w:bCs/>
          <w:i w:val="0"/>
          <w:iCs w:val="0"/>
        </w:rPr>
      </w:pPr>
      <w:bookmarkStart w:id="0" w:name="_Ref197989349"/>
      <w:r w:rsidRPr="001C3A42">
        <w:rPr>
          <w:rFonts w:ascii="Arial" w:hAnsi="Arial" w:cs="Arial"/>
          <w:b/>
          <w:bCs/>
          <w:i w:val="0"/>
          <w:iCs w:val="0"/>
        </w:rPr>
        <w:t xml:space="preserve">Figure </w:t>
      </w:r>
      <w:r w:rsidRPr="001C3A42">
        <w:rPr>
          <w:rFonts w:ascii="Arial" w:hAnsi="Arial" w:cs="Arial"/>
          <w:b/>
          <w:bCs/>
          <w:i w:val="0"/>
          <w:iCs w:val="0"/>
        </w:rPr>
        <w:fldChar w:fldCharType="begin"/>
      </w:r>
      <w:r w:rsidRPr="001C3A42">
        <w:rPr>
          <w:rFonts w:ascii="Arial" w:hAnsi="Arial" w:cs="Arial"/>
          <w:b/>
          <w:bCs/>
          <w:i w:val="0"/>
          <w:iCs w:val="0"/>
        </w:rPr>
        <w:instrText xml:space="preserve"> SEQ Figure \* ARABIC </w:instrText>
      </w:r>
      <w:r w:rsidRPr="001C3A42">
        <w:rPr>
          <w:rFonts w:ascii="Arial" w:hAnsi="Arial" w:cs="Arial"/>
          <w:b/>
          <w:bCs/>
          <w:i w:val="0"/>
          <w:iCs w:val="0"/>
        </w:rPr>
        <w:fldChar w:fldCharType="separate"/>
      </w:r>
      <w:r w:rsidR="00AC22EB">
        <w:rPr>
          <w:rFonts w:ascii="Arial" w:hAnsi="Arial" w:cs="Arial"/>
          <w:b/>
          <w:bCs/>
          <w:i w:val="0"/>
          <w:iCs w:val="0"/>
          <w:noProof/>
        </w:rPr>
        <w:t>1</w:t>
      </w:r>
      <w:r w:rsidRPr="001C3A42">
        <w:rPr>
          <w:rFonts w:ascii="Arial" w:hAnsi="Arial" w:cs="Arial"/>
          <w:b/>
          <w:bCs/>
          <w:i w:val="0"/>
          <w:iCs w:val="0"/>
        </w:rPr>
        <w:fldChar w:fldCharType="end"/>
      </w:r>
      <w:bookmarkEnd w:id="0"/>
      <w:r w:rsidRPr="001C3A42">
        <w:rPr>
          <w:rFonts w:ascii="Arial" w:hAnsi="Arial" w:cs="Arial"/>
          <w:b/>
          <w:bCs/>
          <w:i w:val="0"/>
          <w:iCs w:val="0"/>
        </w:rPr>
        <w:t>: Test setup overview for SLR measurement</w:t>
      </w:r>
    </w:p>
    <w:p w14:paraId="01740D65" w14:textId="6B3A80E3" w:rsidR="00326AF5" w:rsidRDefault="00D86B72" w:rsidP="00F94786">
      <w:r>
        <w:lastRenderedPageBreak/>
        <w:t>Since for IVAS UEs the signal captured at POI would be an immersive audio format, the external IVAS renderer configured for mono downmix is additionally utilized as part of the reference client/test equipment.</w:t>
      </w:r>
    </w:p>
    <w:p w14:paraId="03A8ADAC" w14:textId="77777777" w:rsidR="00F50469" w:rsidRDefault="00F50469" w:rsidP="00F94786"/>
    <w:p w14:paraId="298C6A8E" w14:textId="18FA0A9C" w:rsidR="00F50469" w:rsidRDefault="00F50469" w:rsidP="00F94786">
      <w:r>
        <w:t>To obtain a SLR of 13 dB at the output of this processing chain, it is investigated in the following, which electrical/digital levels at which input/output block are necessary.</w:t>
      </w:r>
      <w:r w:rsidR="00476F48">
        <w:t xml:space="preserve"> S</w:t>
      </w:r>
      <w:r>
        <w:t xml:space="preserve">everal assumptions and simplifications according </w:t>
      </w:r>
      <w:r w:rsidRPr="00F50469">
        <w:t xml:space="preserve">to </w:t>
      </w:r>
      <w:r w:rsidRPr="00F50469">
        <w:fldChar w:fldCharType="begin"/>
      </w:r>
      <w:r w:rsidRPr="00F50469">
        <w:instrText xml:space="preserve"> REF _Ref198031698 \h </w:instrText>
      </w:r>
      <w:r w:rsidRPr="00F50469">
        <w:fldChar w:fldCharType="separate"/>
      </w:r>
      <w:r w:rsidRPr="00F50469">
        <w:t>Figure 2</w:t>
      </w:r>
      <w:r w:rsidRPr="00F50469">
        <w:fldChar w:fldCharType="end"/>
      </w:r>
      <w:r w:rsidRPr="00F50469">
        <w:t xml:space="preserve"> are mad</w:t>
      </w:r>
      <w:r w:rsidR="006928EC">
        <w:t>e</w:t>
      </w:r>
      <w:r w:rsidR="00476F48">
        <w:t xml:space="preserve"> in the following</w:t>
      </w:r>
      <w:r w:rsidR="006928EC">
        <w:t>:</w:t>
      </w:r>
    </w:p>
    <w:p w14:paraId="7E8059F9" w14:textId="77777777" w:rsidR="00476F48" w:rsidRDefault="00476F48" w:rsidP="00F94786"/>
    <w:p w14:paraId="5BEC6DA8" w14:textId="3AD1AB8B" w:rsidR="006928EC" w:rsidRDefault="006928EC" w:rsidP="006928EC">
      <w:pPr>
        <w:pStyle w:val="ListParagraph"/>
        <w:numPr>
          <w:ilvl w:val="0"/>
          <w:numId w:val="7"/>
        </w:numPr>
      </w:pPr>
      <w:r>
        <w:t>UE type: Handheld-hands-free UE in User Capture mode (see clause 5.4.2.4 in TS 26.260), focussing on a distant talker (not on single/complex sound sources)</w:t>
      </w:r>
    </w:p>
    <w:p w14:paraId="50F46AB8" w14:textId="3557C488" w:rsidR="006928EC" w:rsidRDefault="006928EC" w:rsidP="006928EC">
      <w:pPr>
        <w:pStyle w:val="ListParagraph"/>
        <w:numPr>
          <w:ilvl w:val="0"/>
          <w:numId w:val="7"/>
        </w:numPr>
      </w:pPr>
      <w:r>
        <w:t>Talker source level</w:t>
      </w:r>
      <w:r w:rsidRPr="006928EC">
        <w:t xml:space="preserve"> </w:t>
      </w:r>
      <w:r>
        <w:t xml:space="preserve">at MRP: </w:t>
      </w:r>
      <w:r w:rsidR="00F548D3">
        <w:t>L</w:t>
      </w:r>
      <w:r w:rsidR="00F548D3" w:rsidRPr="00F548D3">
        <w:rPr>
          <w:vertAlign w:val="subscript"/>
        </w:rPr>
        <w:t>ASL</w:t>
      </w:r>
      <w:r w:rsidR="00F548D3">
        <w:rPr>
          <w:vertAlign w:val="subscript"/>
        </w:rPr>
        <w:t>, MRP</w:t>
      </w:r>
      <w:r w:rsidR="00F548D3">
        <w:t xml:space="preserve"> = </w:t>
      </w:r>
      <w:r>
        <w:t>-1.7 dBPa</w:t>
      </w:r>
    </w:p>
    <w:p w14:paraId="529F2CD4" w14:textId="1E312A9A" w:rsidR="00777A8D" w:rsidRDefault="006928EC" w:rsidP="006928EC">
      <w:pPr>
        <w:pStyle w:val="ListParagraph"/>
        <w:numPr>
          <w:ilvl w:val="0"/>
          <w:numId w:val="7"/>
        </w:numPr>
      </w:pPr>
      <w:r>
        <w:t xml:space="preserve">The acoustic path from MRP to the input microphone(s) of the UE is assumed to be </w:t>
      </w:r>
      <w:r w:rsidR="00777A8D">
        <w:t xml:space="preserve">a simulated </w:t>
      </w:r>
      <w:r>
        <w:t>free-field propagation</w:t>
      </w:r>
      <w:r w:rsidR="00777A8D">
        <w:t>:</w:t>
      </w:r>
    </w:p>
    <w:p w14:paraId="75BCA4BB" w14:textId="77777777" w:rsidR="00777A8D" w:rsidRDefault="00777A8D" w:rsidP="00777A8D">
      <w:pPr>
        <w:pStyle w:val="ListParagraph"/>
        <w:numPr>
          <w:ilvl w:val="1"/>
          <w:numId w:val="7"/>
        </w:numPr>
      </w:pPr>
      <w:r>
        <w:t>Spectral shaping is realized by using ISM1 and external IVAS renderer to generate an immersive audio format at the UEs input microphones.</w:t>
      </w:r>
    </w:p>
    <w:p w14:paraId="33B8EB51" w14:textId="77777777" w:rsidR="00777A8D" w:rsidRDefault="00777A8D" w:rsidP="00777A8D">
      <w:pPr>
        <w:pStyle w:val="ListParagraph"/>
        <w:numPr>
          <w:ilvl w:val="1"/>
          <w:numId w:val="7"/>
        </w:numPr>
      </w:pPr>
      <w:r>
        <w:t xml:space="preserve">Level loss is realized </w:t>
      </w:r>
      <w:r w:rsidR="006928EC">
        <w:t>according to Recommendation ITU-T P.581</w:t>
      </w:r>
      <w:r>
        <w:t>:</w:t>
      </w:r>
    </w:p>
    <w:p w14:paraId="539CF547" w14:textId="77777777" w:rsidR="00777A8D" w:rsidRDefault="006928EC" w:rsidP="00777A8D">
      <w:pPr>
        <w:pStyle w:val="ListParagraph"/>
        <w:numPr>
          <w:ilvl w:val="2"/>
          <w:numId w:val="7"/>
        </w:numPr>
      </w:pPr>
      <w:r>
        <w:t>24 dB loss between MRP and HFRP at 0.5 m</w:t>
      </w:r>
    </w:p>
    <w:p w14:paraId="381FE49D" w14:textId="1B2965C0" w:rsidR="006928EC" w:rsidRDefault="006928EC" w:rsidP="00777A8D">
      <w:pPr>
        <w:pStyle w:val="ListParagraph"/>
        <w:numPr>
          <w:ilvl w:val="2"/>
          <w:numId w:val="7"/>
        </w:numPr>
      </w:pPr>
      <w:r>
        <w:t>+/-6dB per halved</w:t>
      </w:r>
      <w:r w:rsidR="00777A8D">
        <w:t>/</w:t>
      </w:r>
      <w:r w:rsidR="00777A8D" w:rsidRPr="00777A8D">
        <w:t xml:space="preserve"> </w:t>
      </w:r>
      <w:r w:rsidR="00777A8D">
        <w:t>doubled</w:t>
      </w:r>
      <w:r w:rsidR="00777A8D">
        <w:t xml:space="preserve"> </w:t>
      </w:r>
      <w:r>
        <w:t>distance</w:t>
      </w:r>
    </w:p>
    <w:p w14:paraId="68DAF835" w14:textId="1FC77F06" w:rsidR="006928EC" w:rsidRDefault="006928EC" w:rsidP="006928EC">
      <w:pPr>
        <w:pStyle w:val="ListParagraph"/>
        <w:numPr>
          <w:ilvl w:val="1"/>
          <w:numId w:val="7"/>
        </w:numPr>
      </w:pPr>
      <w:r>
        <w:t xml:space="preserve">Default distance 30 cm (42 cm from HATS reference point) </w:t>
      </w:r>
      <w:r>
        <w:sym w:font="Wingdings" w:char="F0E0"/>
      </w:r>
      <w:r>
        <w:t xml:space="preserve"> </w:t>
      </w:r>
      <w:r w:rsidR="00F548D3">
        <w:t>L</w:t>
      </w:r>
      <w:r w:rsidR="00F548D3" w:rsidRPr="00F548D3">
        <w:rPr>
          <w:vertAlign w:val="subscript"/>
        </w:rPr>
        <w:t>ASL</w:t>
      </w:r>
      <w:r w:rsidR="00F548D3">
        <w:rPr>
          <w:vertAlign w:val="subscript"/>
        </w:rPr>
        <w:t>,</w:t>
      </w:r>
      <w:r w:rsidR="00F548D3">
        <w:rPr>
          <w:vertAlign w:val="subscript"/>
        </w:rPr>
        <w:t xml:space="preserve"> UE-in </w:t>
      </w:r>
      <w:r w:rsidR="00F548D3" w:rsidRPr="00F548D3">
        <w:t xml:space="preserve">= </w:t>
      </w:r>
      <w:r>
        <w:t>-21.3 dBPa</w:t>
      </w:r>
    </w:p>
    <w:p w14:paraId="33710543" w14:textId="6766BD93" w:rsidR="006928EC" w:rsidRDefault="006928EC" w:rsidP="00777A8D">
      <w:pPr>
        <w:pStyle w:val="ListParagraph"/>
        <w:numPr>
          <w:ilvl w:val="2"/>
          <w:numId w:val="7"/>
        </w:numPr>
      </w:pPr>
      <w:r>
        <w:t xml:space="preserve">Larger distances may be considered as well (see resulting levels annotated in </w:t>
      </w:r>
      <w:r w:rsidRPr="00F50469">
        <w:fldChar w:fldCharType="begin"/>
      </w:r>
      <w:r w:rsidRPr="00F50469">
        <w:instrText xml:space="preserve"> REF _Ref198031698 \h </w:instrText>
      </w:r>
      <w:r w:rsidRPr="00F50469">
        <w:fldChar w:fldCharType="separate"/>
      </w:r>
      <w:r w:rsidRPr="00F50469">
        <w:t>Figure 2</w:t>
      </w:r>
      <w:r w:rsidRPr="00F50469">
        <w:fldChar w:fldCharType="end"/>
      </w:r>
      <w:r>
        <w:t>)</w:t>
      </w:r>
    </w:p>
    <w:p w14:paraId="218A33DC" w14:textId="23613AEB" w:rsidR="006928EC" w:rsidRDefault="006928EC" w:rsidP="006928EC">
      <w:pPr>
        <w:pStyle w:val="ListParagraph"/>
        <w:numPr>
          <w:ilvl w:val="0"/>
          <w:numId w:val="7"/>
        </w:numPr>
      </w:pPr>
      <w:r>
        <w:t>All components between UE input microphones</w:t>
      </w:r>
      <w:r w:rsidR="00777A8D">
        <w:t xml:space="preserve"> </w:t>
      </w:r>
      <w:r>
        <w:t>and the IVAS encoder input are considered as a single “acoustic-to-digital immersive transducer” with a certain “encoder sensitivity”.</w:t>
      </w:r>
    </w:p>
    <w:p w14:paraId="432ECAD9" w14:textId="616E12DB" w:rsidR="006928EC" w:rsidRDefault="006928EC" w:rsidP="00A13136">
      <w:pPr>
        <w:pStyle w:val="ListParagraph"/>
        <w:numPr>
          <w:ilvl w:val="0"/>
          <w:numId w:val="7"/>
        </w:numPr>
      </w:pPr>
      <w:r>
        <w:t xml:space="preserve">The level of any IVAS-supported audio format </w:t>
      </w:r>
      <w:r w:rsidR="0051310F">
        <w:t>is determined via ITU-R BS 1770-5l, as already used for level normalization in TS 26.260 (clause 5.5.1) and in the processing plan for IVAS selection and characterization phase (see IVAS-7a/8a).</w:t>
      </w:r>
    </w:p>
    <w:p w14:paraId="75B999F8" w14:textId="44B738BF" w:rsidR="0051310F" w:rsidRDefault="0051310F" w:rsidP="00A13136">
      <w:pPr>
        <w:pStyle w:val="ListParagraph"/>
        <w:numPr>
          <w:ilvl w:val="0"/>
          <w:numId w:val="7"/>
        </w:numPr>
      </w:pPr>
      <w:r>
        <w:t>After encoding, decoding and mono downmix, the resulting signal is calibrated from dBov to dBV as follows:</w:t>
      </w:r>
    </w:p>
    <w:p w14:paraId="21DC4968" w14:textId="31E7AD51" w:rsidR="0051310F" w:rsidRDefault="0051310F" w:rsidP="0051310F">
      <w:pPr>
        <w:pStyle w:val="ListParagraph"/>
        <w:numPr>
          <w:ilvl w:val="1"/>
          <w:numId w:val="7"/>
        </w:numPr>
      </w:pPr>
      <w:r>
        <w:t xml:space="preserve">dBov </w:t>
      </w:r>
      <w:r>
        <w:sym w:font="Wingdings" w:char="F0E0"/>
      </w:r>
      <w:r>
        <w:t xml:space="preserve"> dBm0: + (3.17 + 3.01) dB (see clause 8.8 Recommendation G.100.1)</w:t>
      </w:r>
    </w:p>
    <w:p w14:paraId="347A1A75" w14:textId="768020F7" w:rsidR="00476F48" w:rsidRDefault="0051310F" w:rsidP="00476F48">
      <w:pPr>
        <w:pStyle w:val="ListParagraph"/>
        <w:numPr>
          <w:ilvl w:val="1"/>
          <w:numId w:val="7"/>
        </w:numPr>
      </w:pPr>
      <w:r>
        <w:t xml:space="preserve">dBm0 </w:t>
      </w:r>
      <w:r>
        <w:sym w:font="Wingdings" w:char="F0E0"/>
      </w:r>
      <w:r>
        <w:t xml:space="preserve"> dBV: - 2.21 dB (see </w:t>
      </w:r>
      <w:r w:rsidR="00476F48">
        <w:t>clause 8.3 Recommendation G.100.1)</w:t>
      </w:r>
    </w:p>
    <w:p w14:paraId="39E9DBD6" w14:textId="5D47CECF" w:rsidR="006928EC" w:rsidRDefault="00476F48" w:rsidP="00081A3E">
      <w:pPr>
        <w:pStyle w:val="ListParagraph"/>
        <w:numPr>
          <w:ilvl w:val="0"/>
          <w:numId w:val="7"/>
        </w:numPr>
      </w:pPr>
      <w:r>
        <w:t>SLR is calculated between POI</w:t>
      </w:r>
      <w:r w:rsidRPr="00476F48">
        <w:rPr>
          <w:vertAlign w:val="subscript"/>
        </w:rPr>
        <w:t>mono</w:t>
      </w:r>
      <w:r>
        <w:t xml:space="preserve"> (in dBV) and MRP (in dBPa) as described above.</w:t>
      </w:r>
    </w:p>
    <w:p w14:paraId="268EDB3D" w14:textId="77777777" w:rsidR="006928EC" w:rsidRDefault="006928EC" w:rsidP="00F94786"/>
    <w:p w14:paraId="1FED316E" w14:textId="77777777" w:rsidR="001C3A42" w:rsidRDefault="001C3A42" w:rsidP="001C3A42">
      <w:pPr>
        <w:keepNext/>
      </w:pPr>
      <w:r>
        <w:rPr>
          <w:noProof/>
        </w:rPr>
        <w:drawing>
          <wp:inline distT="0" distB="0" distL="0" distR="0" wp14:anchorId="0BEB4EE2" wp14:editId="3CA2DD72">
            <wp:extent cx="6221497" cy="2294255"/>
            <wp:effectExtent l="0" t="0" r="8255" b="0"/>
            <wp:docPr id="16698694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869412" name="Graphic 1"/>
                    <pic:cNvPicPr/>
                  </pic:nvPicPr>
                  <pic:blipFill>
                    <a:blip r:embed="rId11">
                      <a:extLst>
                        <a:ext uri="{96DAC541-7B7A-43D3-8B79-37D633B846F1}">
                          <asvg:svgBlip xmlns:asvg="http://schemas.microsoft.com/office/drawing/2016/SVG/main" r:embed="rId12"/>
                        </a:ext>
                      </a:extLst>
                    </a:blip>
                    <a:stretch>
                      <a:fillRect/>
                    </a:stretch>
                  </pic:blipFill>
                  <pic:spPr>
                    <a:xfrm>
                      <a:off x="0" y="0"/>
                      <a:ext cx="6221497" cy="2294255"/>
                    </a:xfrm>
                    <a:prstGeom prst="rect">
                      <a:avLst/>
                    </a:prstGeom>
                  </pic:spPr>
                </pic:pic>
              </a:graphicData>
            </a:graphic>
          </wp:inline>
        </w:drawing>
      </w:r>
    </w:p>
    <w:p w14:paraId="698E1C94" w14:textId="69E0352A" w:rsidR="001C3A42" w:rsidRPr="001C3A42" w:rsidRDefault="001C3A42" w:rsidP="001C3A42">
      <w:pPr>
        <w:pStyle w:val="Caption"/>
        <w:jc w:val="center"/>
        <w:rPr>
          <w:rFonts w:ascii="Arial" w:hAnsi="Arial" w:cs="Arial"/>
          <w:b/>
          <w:bCs/>
          <w:i w:val="0"/>
          <w:iCs w:val="0"/>
        </w:rPr>
      </w:pPr>
      <w:bookmarkStart w:id="1" w:name="_Ref198031698"/>
      <w:r w:rsidRPr="001C3A42">
        <w:rPr>
          <w:rFonts w:ascii="Arial" w:hAnsi="Arial" w:cs="Arial"/>
          <w:b/>
          <w:bCs/>
          <w:i w:val="0"/>
          <w:iCs w:val="0"/>
        </w:rPr>
        <w:t xml:space="preserve">Figure </w:t>
      </w:r>
      <w:r w:rsidRPr="001C3A42">
        <w:rPr>
          <w:rFonts w:ascii="Arial" w:hAnsi="Arial" w:cs="Arial"/>
          <w:b/>
          <w:bCs/>
          <w:i w:val="0"/>
          <w:iCs w:val="0"/>
        </w:rPr>
        <w:fldChar w:fldCharType="begin"/>
      </w:r>
      <w:r w:rsidRPr="001C3A42">
        <w:rPr>
          <w:rFonts w:ascii="Arial" w:hAnsi="Arial" w:cs="Arial"/>
          <w:b/>
          <w:bCs/>
          <w:i w:val="0"/>
          <w:iCs w:val="0"/>
        </w:rPr>
        <w:instrText xml:space="preserve"> SEQ Figure \* ARABIC </w:instrText>
      </w:r>
      <w:r w:rsidRPr="001C3A42">
        <w:rPr>
          <w:rFonts w:ascii="Arial" w:hAnsi="Arial" w:cs="Arial"/>
          <w:b/>
          <w:bCs/>
          <w:i w:val="0"/>
          <w:iCs w:val="0"/>
        </w:rPr>
        <w:fldChar w:fldCharType="separate"/>
      </w:r>
      <w:r w:rsidR="00AC22EB">
        <w:rPr>
          <w:rFonts w:ascii="Arial" w:hAnsi="Arial" w:cs="Arial"/>
          <w:b/>
          <w:bCs/>
          <w:i w:val="0"/>
          <w:iCs w:val="0"/>
          <w:noProof/>
        </w:rPr>
        <w:t>2</w:t>
      </w:r>
      <w:r w:rsidRPr="001C3A42">
        <w:rPr>
          <w:rFonts w:ascii="Arial" w:hAnsi="Arial" w:cs="Arial"/>
          <w:b/>
          <w:bCs/>
          <w:i w:val="0"/>
          <w:iCs w:val="0"/>
        </w:rPr>
        <w:fldChar w:fldCharType="end"/>
      </w:r>
      <w:bookmarkEnd w:id="1"/>
      <w:r w:rsidRPr="001C3A42">
        <w:rPr>
          <w:rFonts w:ascii="Arial" w:hAnsi="Arial" w:cs="Arial"/>
          <w:b/>
          <w:bCs/>
          <w:i w:val="0"/>
          <w:iCs w:val="0"/>
        </w:rPr>
        <w:t xml:space="preserve">: </w:t>
      </w:r>
      <w:r>
        <w:rPr>
          <w:rFonts w:ascii="Arial" w:hAnsi="Arial" w:cs="Arial"/>
          <w:b/>
          <w:bCs/>
          <w:i w:val="0"/>
          <w:iCs w:val="0"/>
        </w:rPr>
        <w:t>Simplified signal path</w:t>
      </w:r>
      <w:r w:rsidR="006928EC">
        <w:rPr>
          <w:rFonts w:ascii="Arial" w:hAnsi="Arial" w:cs="Arial"/>
          <w:b/>
          <w:bCs/>
          <w:i w:val="0"/>
          <w:iCs w:val="0"/>
        </w:rPr>
        <w:t xml:space="preserve"> and intermediate</w:t>
      </w:r>
      <w:r w:rsidR="006928EC" w:rsidRPr="001C3A42">
        <w:rPr>
          <w:rFonts w:ascii="Arial" w:hAnsi="Arial" w:cs="Arial"/>
          <w:b/>
          <w:bCs/>
          <w:i w:val="0"/>
          <w:iCs w:val="0"/>
        </w:rPr>
        <w:t xml:space="preserve"> </w:t>
      </w:r>
      <w:r w:rsidR="006928EC">
        <w:rPr>
          <w:rFonts w:ascii="Arial" w:hAnsi="Arial" w:cs="Arial"/>
          <w:b/>
          <w:bCs/>
          <w:i w:val="0"/>
          <w:iCs w:val="0"/>
        </w:rPr>
        <w:t xml:space="preserve">levels </w:t>
      </w:r>
      <w:r w:rsidRPr="001C3A42">
        <w:rPr>
          <w:rFonts w:ascii="Arial" w:hAnsi="Arial" w:cs="Arial"/>
          <w:b/>
          <w:bCs/>
          <w:i w:val="0"/>
          <w:iCs w:val="0"/>
        </w:rPr>
        <w:t>for SLR measurement</w:t>
      </w:r>
    </w:p>
    <w:p w14:paraId="00FA5356" w14:textId="26F7EEB9" w:rsidR="008742A6" w:rsidRDefault="008742A6" w:rsidP="008742A6">
      <w:pPr>
        <w:pStyle w:val="Heading1"/>
      </w:pPr>
      <w:r>
        <w:t>Backward estimate of SLR</w:t>
      </w:r>
    </w:p>
    <w:p w14:paraId="7A0A6B76" w14:textId="645D1B9D" w:rsidR="00412F7F" w:rsidRDefault="00476F48" w:rsidP="00F94786">
      <w:r>
        <w:t>With these simplifications, a</w:t>
      </w:r>
      <w:r w:rsidR="00535180">
        <w:t xml:space="preserve"> "forward/backward pass"</w:t>
      </w:r>
      <w:r>
        <w:t xml:space="preserve"> </w:t>
      </w:r>
      <w:r w:rsidR="00CE0CB8">
        <w:t xml:space="preserve">can be </w:t>
      </w:r>
      <w:r w:rsidR="007C08DE">
        <w:t>applied to</w:t>
      </w:r>
      <w:r>
        <w:t xml:space="preserve"> </w:t>
      </w:r>
      <w:r w:rsidR="00CE0CB8">
        <w:t xml:space="preserve">derive the </w:t>
      </w:r>
      <w:r w:rsidR="00777A8D">
        <w:t xml:space="preserve">necessary </w:t>
      </w:r>
      <w:r w:rsidR="00CE0CB8">
        <w:t>input level</w:t>
      </w:r>
      <w:r w:rsidR="00777A8D">
        <w:t xml:space="preserve"> at the IVAS encoder in the UE</w:t>
      </w:r>
      <w:r w:rsidR="00CE0CB8">
        <w:t>:</w:t>
      </w:r>
    </w:p>
    <w:p w14:paraId="5448B517" w14:textId="70DEB47B" w:rsidR="00777A8D" w:rsidRDefault="008742A6" w:rsidP="00D436E1">
      <w:pPr>
        <w:pStyle w:val="ListParagraph"/>
        <w:numPr>
          <w:ilvl w:val="0"/>
          <w:numId w:val="10"/>
        </w:numPr>
      </w:pPr>
      <w:r>
        <w:t>A certain c</w:t>
      </w:r>
      <w:r w:rsidR="00777A8D">
        <w:t xml:space="preserve">oded format </w:t>
      </w:r>
      <w:r>
        <w:t xml:space="preserve">used </w:t>
      </w:r>
      <w:r w:rsidR="00777A8D">
        <w:t xml:space="preserve">at the IVAS encoder is </w:t>
      </w:r>
      <w:r>
        <w:t>chosen.</w:t>
      </w:r>
    </w:p>
    <w:p w14:paraId="480BB1B4" w14:textId="1DAF6F6C" w:rsidR="00CE0CB8" w:rsidRDefault="00777A8D" w:rsidP="00D436E1">
      <w:pPr>
        <w:pStyle w:val="ListParagraph"/>
        <w:numPr>
          <w:ilvl w:val="0"/>
          <w:numId w:val="10"/>
        </w:numPr>
      </w:pPr>
      <w:r>
        <w:t>The loudness (in LKFS) according to ITU-R BS 1770 is calculated and scaled to an arbitrary start value (e.g.,</w:t>
      </w:r>
      <w:r w:rsidR="008742A6">
        <w:t xml:space="preserve"> L</w:t>
      </w:r>
      <w:r w:rsidR="00B4037D">
        <w:rPr>
          <w:vertAlign w:val="subscript"/>
        </w:rPr>
        <w:t>Enc</w:t>
      </w:r>
      <w:r w:rsidR="008742A6">
        <w:t> = </w:t>
      </w:r>
      <w:r>
        <w:t>-26 LKFS).</w:t>
      </w:r>
    </w:p>
    <w:p w14:paraId="639A8BA6" w14:textId="13A57A4A" w:rsidR="00535180" w:rsidRDefault="00777A8D" w:rsidP="00D436E1">
      <w:pPr>
        <w:pStyle w:val="ListParagraph"/>
        <w:numPr>
          <w:ilvl w:val="0"/>
          <w:numId w:val="10"/>
        </w:numPr>
      </w:pPr>
      <w:r>
        <w:t xml:space="preserve">The loudness (in LKFS) according to ITU-R BS 1770 is calculated </w:t>
      </w:r>
      <w:r>
        <w:t>again after applying IVAS encod</w:t>
      </w:r>
      <w:r w:rsidR="00D436E1">
        <w:t>ing</w:t>
      </w:r>
      <w:r>
        <w:t xml:space="preserve"> and decod</w:t>
      </w:r>
      <w:r w:rsidR="00D436E1">
        <w:t xml:space="preserve">ing </w:t>
      </w:r>
      <w:r>
        <w:t>to same coded format</w:t>
      </w:r>
      <w:r w:rsidR="005306EE">
        <w:t xml:space="preserve">, denoted as </w:t>
      </w:r>
      <w:r w:rsidR="005306EE">
        <w:t>L</w:t>
      </w:r>
      <w:r w:rsidR="005306EE" w:rsidRPr="005306EE">
        <w:rPr>
          <w:vertAlign w:val="subscript"/>
        </w:rPr>
        <w:t>EncDec</w:t>
      </w:r>
      <w:r w:rsidR="00B4037D" w:rsidRPr="00B4037D">
        <w:rPr>
          <w:vertAlign w:val="superscript"/>
        </w:rPr>
        <w:t>(0)</w:t>
      </w:r>
      <w:r w:rsidR="00D436E1">
        <w:t>.</w:t>
      </w:r>
    </w:p>
    <w:p w14:paraId="786BBFC3" w14:textId="6731E960" w:rsidR="00D436E1" w:rsidRDefault="00535180" w:rsidP="00D436E1">
      <w:pPr>
        <w:pStyle w:val="ListParagraph"/>
        <w:numPr>
          <w:ilvl w:val="0"/>
          <w:numId w:val="10"/>
        </w:numPr>
      </w:pPr>
      <w:r>
        <w:t xml:space="preserve">The loudness difference (in LKFS) between encoder input and decoder output is denoted as: </w:t>
      </w:r>
      <w:r>
        <w:t>d</w:t>
      </w:r>
      <w:r>
        <w:rPr>
          <w:vertAlign w:val="subscript"/>
        </w:rPr>
        <w:t>1</w:t>
      </w:r>
      <w:r w:rsidR="00FC0F05">
        <w:t xml:space="preserve"> = </w:t>
      </w:r>
      <w:r w:rsidR="00FC0F05">
        <w:t>L</w:t>
      </w:r>
      <w:r w:rsidR="00B4037D">
        <w:rPr>
          <w:vertAlign w:val="subscript"/>
        </w:rPr>
        <w:t>Enc</w:t>
      </w:r>
      <w:r w:rsidR="00B4037D" w:rsidRPr="00B4037D">
        <w:rPr>
          <w:vertAlign w:val="superscript"/>
        </w:rPr>
        <w:t>(0)</w:t>
      </w:r>
      <w:r w:rsidR="00FC0F05">
        <w:t> - </w:t>
      </w:r>
      <w:r>
        <w:t>L</w:t>
      </w:r>
      <w:r w:rsidRPr="005306EE">
        <w:rPr>
          <w:vertAlign w:val="subscript"/>
        </w:rPr>
        <w:t>EncDec</w:t>
      </w:r>
      <w:r w:rsidR="00B4037D" w:rsidRPr="00B4037D">
        <w:rPr>
          <w:vertAlign w:val="superscript"/>
        </w:rPr>
        <w:t>(0)</w:t>
      </w:r>
    </w:p>
    <w:p w14:paraId="6460A683" w14:textId="62F558FD" w:rsidR="00FC0F05" w:rsidRDefault="00D436E1" w:rsidP="00FC0F05">
      <w:pPr>
        <w:pStyle w:val="ListParagraph"/>
        <w:numPr>
          <w:ilvl w:val="0"/>
          <w:numId w:val="10"/>
        </w:numPr>
      </w:pPr>
      <w:r>
        <w:t xml:space="preserve">After applying mono downmix, </w:t>
      </w:r>
      <w:r w:rsidR="00FC0F05">
        <w:t>the signal is</w:t>
      </w:r>
      <w:r w:rsidR="00FC0F05">
        <w:t xml:space="preserve"> converted into dBV </w:t>
      </w:r>
      <w:r w:rsidR="00FC0F05">
        <w:t xml:space="preserve">domain </w:t>
      </w:r>
      <w:r w:rsidR="00FC0F05">
        <w:t>(see annotations in</w:t>
      </w:r>
      <w:r w:rsidR="00FC0F05" w:rsidRPr="00D436E1">
        <w:t xml:space="preserve"> </w:t>
      </w:r>
      <w:r w:rsidR="00FC0F05" w:rsidRPr="00F50469">
        <w:fldChar w:fldCharType="begin"/>
      </w:r>
      <w:r w:rsidR="00FC0F05" w:rsidRPr="00F50469">
        <w:instrText xml:space="preserve"> REF _Ref198031698 \h </w:instrText>
      </w:r>
      <w:r w:rsidR="00FC0F05" w:rsidRPr="00F50469">
        <w:fldChar w:fldCharType="separate"/>
      </w:r>
      <w:r w:rsidR="00FC0F05" w:rsidRPr="00F50469">
        <w:t>Figure 2</w:t>
      </w:r>
      <w:r w:rsidR="00FC0F05" w:rsidRPr="00F50469">
        <w:fldChar w:fldCharType="end"/>
      </w:r>
      <w:r w:rsidR="00FC0F05">
        <w:t>)</w:t>
      </w:r>
      <w:r w:rsidR="00A90D5F">
        <w:t xml:space="preserve"> and the </w:t>
      </w:r>
      <w:r w:rsidR="00A90D5F">
        <w:t>initial value SLR</w:t>
      </w:r>
      <w:r w:rsidR="00A90D5F" w:rsidRPr="00B4037D">
        <w:rPr>
          <w:vertAlign w:val="superscript"/>
        </w:rPr>
        <w:t>(0)</w:t>
      </w:r>
      <w:r w:rsidR="00A90D5F">
        <w:t xml:space="preserve"> is calculated as mentioned before.</w:t>
      </w:r>
    </w:p>
    <w:p w14:paraId="31601DAA" w14:textId="6EBC0AEC" w:rsidR="00D436E1" w:rsidRDefault="00D436E1" w:rsidP="00D436E1">
      <w:pPr>
        <w:pStyle w:val="ListParagraph"/>
        <w:numPr>
          <w:ilvl w:val="0"/>
          <w:numId w:val="10"/>
        </w:numPr>
      </w:pPr>
      <w:r>
        <w:t xml:space="preserve">The required level at the output of the mono downmix is calculated as the difference </w:t>
      </w:r>
      <w:r w:rsidR="008742A6">
        <w:t>b</w:t>
      </w:r>
      <w:r>
        <w:t>etween the</w:t>
      </w:r>
      <w:r w:rsidR="00FC0F05">
        <w:t xml:space="preserve"> initial and the</w:t>
      </w:r>
      <w:r>
        <w:t xml:space="preserve"> </w:t>
      </w:r>
      <w:r>
        <w:t>target</w:t>
      </w:r>
      <w:r w:rsidR="00FC0F05">
        <w:t xml:space="preserve"> SLR</w:t>
      </w:r>
      <w:r>
        <w:t xml:space="preserve"> value</w:t>
      </w:r>
      <w:r w:rsidR="00FC0F05">
        <w:t xml:space="preserve">: </w:t>
      </w:r>
      <w:r w:rsidR="00FC0F05">
        <w:t>d</w:t>
      </w:r>
      <w:r w:rsidR="00FC0F05">
        <w:rPr>
          <w:vertAlign w:val="subscript"/>
        </w:rPr>
        <w:t>2</w:t>
      </w:r>
      <w:r>
        <w:t xml:space="preserve"> </w:t>
      </w:r>
      <w:r w:rsidR="00FC0F05">
        <w:t>= (</w:t>
      </w:r>
      <w:r w:rsidR="00B4037D">
        <w:t>SLR</w:t>
      </w:r>
      <w:r w:rsidR="00B4037D" w:rsidRPr="00B4037D">
        <w:rPr>
          <w:vertAlign w:val="superscript"/>
        </w:rPr>
        <w:t>(0)</w:t>
      </w:r>
      <w:r w:rsidR="00FC0F05">
        <w:t xml:space="preserve"> - 13 dB)</w:t>
      </w:r>
    </w:p>
    <w:p w14:paraId="69C5CE5F" w14:textId="7D85D8BA" w:rsidR="00D436E1" w:rsidRDefault="008742A6" w:rsidP="00D436E1">
      <w:pPr>
        <w:pStyle w:val="ListParagraph"/>
        <w:numPr>
          <w:ilvl w:val="0"/>
          <w:numId w:val="10"/>
        </w:numPr>
      </w:pPr>
      <w:r>
        <w:lastRenderedPageBreak/>
        <w:t>The</w:t>
      </w:r>
      <w:r w:rsidR="00FC0F05">
        <w:t xml:space="preserve"> overall</w:t>
      </w:r>
      <w:r>
        <w:t xml:space="preserve"> difference </w:t>
      </w:r>
      <w:r w:rsidR="00B4037D">
        <w:t xml:space="preserve">d = </w:t>
      </w:r>
      <w:r>
        <w:t>d</w:t>
      </w:r>
      <w:r w:rsidRPr="008742A6">
        <w:rPr>
          <w:vertAlign w:val="subscript"/>
        </w:rPr>
        <w:t>2</w:t>
      </w:r>
      <w:r>
        <w:t xml:space="preserve"> + </w:t>
      </w:r>
      <w:r>
        <w:t>d</w:t>
      </w:r>
      <w:r>
        <w:rPr>
          <w:vertAlign w:val="subscript"/>
        </w:rPr>
        <w:t>1</w:t>
      </w:r>
      <w:r>
        <w:t xml:space="preserve"> </w:t>
      </w:r>
      <w:r>
        <w:t>is assumed to be the correction value of the coded format at the IVAS encoder input to obtain the target SLR = 13 dB</w:t>
      </w:r>
      <w:r w:rsidR="00B4037D">
        <w:t xml:space="preserve">, leading to an adjusted loudness (in LKFS) denoted as </w:t>
      </w:r>
      <w:r w:rsidR="00B4037D">
        <w:t>L</w:t>
      </w:r>
      <w:r w:rsidR="00B4037D">
        <w:rPr>
          <w:vertAlign w:val="subscript"/>
        </w:rPr>
        <w:t>Enc</w:t>
      </w:r>
      <w:r w:rsidR="00B4037D" w:rsidRPr="00B4037D">
        <w:rPr>
          <w:vertAlign w:val="superscript"/>
        </w:rPr>
        <w:t>(1)</w:t>
      </w:r>
      <w:r>
        <w:t>.</w:t>
      </w:r>
    </w:p>
    <w:p w14:paraId="3D509AB2" w14:textId="697C2969" w:rsidR="00B4037D" w:rsidRDefault="00B4037D" w:rsidP="00D436E1">
      <w:pPr>
        <w:pStyle w:val="ListParagraph"/>
        <w:numPr>
          <w:ilvl w:val="0"/>
          <w:numId w:val="10"/>
        </w:numPr>
      </w:pPr>
      <w:r>
        <w:t xml:space="preserve">Steps 3 to 8 are repeated (i = 1, 2, …) until </w:t>
      </w:r>
      <w:r>
        <w:t>d</w:t>
      </w:r>
      <w:r w:rsidRPr="008742A6">
        <w:rPr>
          <w:vertAlign w:val="subscript"/>
        </w:rPr>
        <w:t>2</w:t>
      </w:r>
      <w:r>
        <w:t xml:space="preserve"> is less than 0.1 dB, leading to </w:t>
      </w:r>
      <w:r>
        <w:t>accordingly</w:t>
      </w:r>
      <w:r>
        <w:t xml:space="preserve"> updated intermediate levels:</w:t>
      </w:r>
    </w:p>
    <w:p w14:paraId="14F48563" w14:textId="6C48A094" w:rsidR="00B4037D" w:rsidRDefault="00B4037D" w:rsidP="00B4037D">
      <w:pPr>
        <w:pStyle w:val="ListParagraph"/>
        <w:numPr>
          <w:ilvl w:val="1"/>
          <w:numId w:val="10"/>
        </w:numPr>
      </w:pPr>
      <w:r>
        <w:t>L</w:t>
      </w:r>
      <w:r w:rsidRPr="005306EE">
        <w:rPr>
          <w:vertAlign w:val="subscript"/>
        </w:rPr>
        <w:t>EncDec</w:t>
      </w:r>
      <w:r w:rsidRPr="00B4037D">
        <w:rPr>
          <w:vertAlign w:val="superscript"/>
        </w:rPr>
        <w:t>(</w:t>
      </w:r>
      <w:r>
        <w:rPr>
          <w:vertAlign w:val="superscript"/>
        </w:rPr>
        <w:t>i</w:t>
      </w:r>
      <w:r w:rsidRPr="00B4037D">
        <w:rPr>
          <w:vertAlign w:val="superscript"/>
        </w:rPr>
        <w:t>)</w:t>
      </w:r>
      <w:r w:rsidRPr="00B4037D">
        <w:t xml:space="preserve"> </w:t>
      </w:r>
      <w:r>
        <w:sym w:font="Wingdings" w:char="F0E0"/>
      </w:r>
      <w:r w:rsidRPr="00B4037D">
        <w:t xml:space="preserve"> </w:t>
      </w:r>
      <w:r>
        <w:t>L</w:t>
      </w:r>
      <w:r w:rsidRPr="005306EE">
        <w:rPr>
          <w:vertAlign w:val="subscript"/>
        </w:rPr>
        <w:t>EncDec</w:t>
      </w:r>
      <w:r w:rsidRPr="00B4037D">
        <w:rPr>
          <w:vertAlign w:val="superscript"/>
        </w:rPr>
        <w:t>(</w:t>
      </w:r>
      <w:r>
        <w:rPr>
          <w:vertAlign w:val="superscript"/>
        </w:rPr>
        <w:t>i+1</w:t>
      </w:r>
      <w:r w:rsidRPr="00B4037D">
        <w:rPr>
          <w:vertAlign w:val="superscript"/>
        </w:rPr>
        <w:t>)</w:t>
      </w:r>
      <w:r w:rsidRPr="00B4037D">
        <w:t xml:space="preserve"> </w:t>
      </w:r>
    </w:p>
    <w:p w14:paraId="3430B397" w14:textId="3E7100F8" w:rsidR="00D54965" w:rsidRDefault="00D54965" w:rsidP="00B4037D">
      <w:pPr>
        <w:pStyle w:val="ListParagraph"/>
        <w:numPr>
          <w:ilvl w:val="1"/>
          <w:numId w:val="10"/>
        </w:numPr>
      </w:pPr>
      <w:r>
        <w:t>d</w:t>
      </w:r>
      <w:r>
        <w:rPr>
          <w:vertAlign w:val="subscript"/>
        </w:rPr>
        <w:t>1</w:t>
      </w:r>
      <w:r w:rsidRPr="00D54965">
        <w:rPr>
          <w:vertAlign w:val="superscript"/>
        </w:rPr>
        <w:t>(i</w:t>
      </w:r>
      <w:r>
        <w:rPr>
          <w:vertAlign w:val="superscript"/>
        </w:rPr>
        <w:t>+1</w:t>
      </w:r>
      <w:r w:rsidRPr="00D54965">
        <w:rPr>
          <w:vertAlign w:val="superscript"/>
        </w:rPr>
        <w:t>)</w:t>
      </w:r>
      <w:r>
        <w:t> = L</w:t>
      </w:r>
      <w:r>
        <w:rPr>
          <w:vertAlign w:val="subscript"/>
        </w:rPr>
        <w:t>Enc</w:t>
      </w:r>
      <w:r w:rsidRPr="00B4037D">
        <w:rPr>
          <w:vertAlign w:val="superscript"/>
        </w:rPr>
        <w:t>(</w:t>
      </w:r>
      <w:r>
        <w:rPr>
          <w:vertAlign w:val="superscript"/>
        </w:rPr>
        <w:t>i+1</w:t>
      </w:r>
      <w:r w:rsidRPr="00B4037D">
        <w:rPr>
          <w:vertAlign w:val="superscript"/>
        </w:rPr>
        <w:t>)</w:t>
      </w:r>
      <w:r>
        <w:t> - L</w:t>
      </w:r>
      <w:r w:rsidRPr="005306EE">
        <w:rPr>
          <w:vertAlign w:val="subscript"/>
        </w:rPr>
        <w:t>EncDec</w:t>
      </w:r>
      <w:r w:rsidRPr="00B4037D">
        <w:rPr>
          <w:vertAlign w:val="superscript"/>
        </w:rPr>
        <w:t>(</w:t>
      </w:r>
      <w:r>
        <w:rPr>
          <w:vertAlign w:val="superscript"/>
        </w:rPr>
        <w:t>i+1</w:t>
      </w:r>
      <w:r w:rsidRPr="00B4037D">
        <w:rPr>
          <w:vertAlign w:val="superscript"/>
        </w:rPr>
        <w:t>)</w:t>
      </w:r>
    </w:p>
    <w:p w14:paraId="783AC3B3" w14:textId="697477E6" w:rsidR="00B4037D" w:rsidRDefault="00B4037D" w:rsidP="00B4037D">
      <w:pPr>
        <w:pStyle w:val="ListParagraph"/>
        <w:numPr>
          <w:ilvl w:val="1"/>
          <w:numId w:val="10"/>
        </w:numPr>
      </w:pPr>
      <w:r>
        <w:t>SLR</w:t>
      </w:r>
      <w:r w:rsidRPr="00B4037D">
        <w:rPr>
          <w:vertAlign w:val="superscript"/>
        </w:rPr>
        <w:t>(</w:t>
      </w:r>
      <w:r>
        <w:rPr>
          <w:vertAlign w:val="superscript"/>
        </w:rPr>
        <w:t>i</w:t>
      </w:r>
      <w:r w:rsidRPr="00B4037D">
        <w:rPr>
          <w:vertAlign w:val="superscript"/>
        </w:rPr>
        <w:t>)</w:t>
      </w:r>
      <w:r w:rsidRPr="00B4037D">
        <w:t xml:space="preserve"> </w:t>
      </w:r>
      <w:r>
        <w:sym w:font="Wingdings" w:char="F0E0"/>
      </w:r>
      <w:r>
        <w:t xml:space="preserve"> </w:t>
      </w:r>
      <w:r>
        <w:t>SLR</w:t>
      </w:r>
      <w:r w:rsidRPr="00B4037D">
        <w:rPr>
          <w:vertAlign w:val="superscript"/>
        </w:rPr>
        <w:t>(</w:t>
      </w:r>
      <w:r>
        <w:rPr>
          <w:vertAlign w:val="superscript"/>
        </w:rPr>
        <w:t>i+1</w:t>
      </w:r>
      <w:r w:rsidRPr="00B4037D">
        <w:rPr>
          <w:vertAlign w:val="superscript"/>
        </w:rPr>
        <w:t>)</w:t>
      </w:r>
    </w:p>
    <w:p w14:paraId="18EE6E87" w14:textId="56C1AED1" w:rsidR="00F548D3" w:rsidRDefault="00F548D3" w:rsidP="00B4037D">
      <w:pPr>
        <w:pStyle w:val="ListParagraph"/>
        <w:numPr>
          <w:ilvl w:val="1"/>
          <w:numId w:val="10"/>
        </w:numPr>
      </w:pPr>
      <w:r>
        <w:t>d</w:t>
      </w:r>
      <w:r>
        <w:rPr>
          <w:vertAlign w:val="subscript"/>
        </w:rPr>
        <w:t>2</w:t>
      </w:r>
      <w:r w:rsidRPr="00D54965">
        <w:rPr>
          <w:vertAlign w:val="superscript"/>
        </w:rPr>
        <w:t>(i</w:t>
      </w:r>
      <w:r>
        <w:rPr>
          <w:vertAlign w:val="superscript"/>
        </w:rPr>
        <w:t>+1</w:t>
      </w:r>
      <w:r w:rsidRPr="00D54965">
        <w:rPr>
          <w:vertAlign w:val="superscript"/>
        </w:rPr>
        <w:t>)</w:t>
      </w:r>
      <w:r>
        <w:t> </w:t>
      </w:r>
      <w:r>
        <w:t>= (SLR</w:t>
      </w:r>
      <w:r w:rsidRPr="00B4037D">
        <w:rPr>
          <w:vertAlign w:val="superscript"/>
        </w:rPr>
        <w:t>(</w:t>
      </w:r>
      <w:r>
        <w:rPr>
          <w:vertAlign w:val="superscript"/>
        </w:rPr>
        <w:t>i+1</w:t>
      </w:r>
      <w:r w:rsidRPr="00B4037D">
        <w:rPr>
          <w:vertAlign w:val="superscript"/>
        </w:rPr>
        <w:t>)</w:t>
      </w:r>
      <w:r>
        <w:t xml:space="preserve"> - 13 dB)</w:t>
      </w:r>
    </w:p>
    <w:p w14:paraId="0EBB0492" w14:textId="77777777" w:rsidR="00F548D3" w:rsidRDefault="00F548D3" w:rsidP="00F548D3"/>
    <w:p w14:paraId="101A4F69" w14:textId="6F4259C9" w:rsidR="00B4037D" w:rsidRDefault="00F548D3" w:rsidP="00F548D3">
      <w:r>
        <w:t>After SLR of 13 dB is obtained, the following additional levels are calculated</w:t>
      </w:r>
      <w:r w:rsidR="004949E5">
        <w:t xml:space="preserve"> for information</w:t>
      </w:r>
      <w:r>
        <w:t>:</w:t>
      </w:r>
    </w:p>
    <w:p w14:paraId="5B3D46DF" w14:textId="17A3BFF1" w:rsidR="00B4037D" w:rsidRDefault="00B4037D" w:rsidP="00352D69">
      <w:pPr>
        <w:pStyle w:val="ListParagraph"/>
        <w:numPr>
          <w:ilvl w:val="0"/>
          <w:numId w:val="10"/>
        </w:numPr>
      </w:pPr>
      <w:r>
        <w:t>The active speech level L</w:t>
      </w:r>
      <w:r w:rsidRPr="00F548D3">
        <w:rPr>
          <w:vertAlign w:val="subscript"/>
        </w:rPr>
        <w:t>ASL</w:t>
      </w:r>
      <w:r w:rsidR="00F548D3">
        <w:rPr>
          <w:vertAlign w:val="subscript"/>
        </w:rPr>
        <w:t>,mono</w:t>
      </w:r>
      <w:r>
        <w:t xml:space="preserve"> according to ITU-T Recommendation P.56 in dBov is calculated </w:t>
      </w:r>
      <w:r w:rsidR="00F548D3">
        <w:t>at the mono downmix.</w:t>
      </w:r>
    </w:p>
    <w:p w14:paraId="5D48B57A" w14:textId="2540F816" w:rsidR="00B4037D" w:rsidRDefault="00FC0F05" w:rsidP="00F548D3">
      <w:pPr>
        <w:pStyle w:val="ListParagraph"/>
        <w:numPr>
          <w:ilvl w:val="0"/>
          <w:numId w:val="10"/>
        </w:numPr>
      </w:pPr>
      <w:r>
        <w:t>The "</w:t>
      </w:r>
      <w:r w:rsidR="00B4037D">
        <w:t>encoder/</w:t>
      </w:r>
      <w:r>
        <w:t>overall electro-acoustic sensitiv</w:t>
      </w:r>
      <w:r w:rsidR="00B4037D">
        <w:t>ity</w:t>
      </w:r>
      <w:r w:rsidR="00627EE4">
        <w:rPr>
          <w:rStyle w:val="EndnoteReference"/>
        </w:rPr>
        <w:endnoteReference w:id="1"/>
      </w:r>
      <w:r w:rsidR="00B4037D">
        <w:t xml:space="preserve">" </w:t>
      </w:r>
      <w:r w:rsidR="00F548D3">
        <w:t>S</w:t>
      </w:r>
      <w:r w:rsidR="00F548D3" w:rsidRPr="00F548D3">
        <w:rPr>
          <w:vertAlign w:val="subscript"/>
        </w:rPr>
        <w:t>ac2el</w:t>
      </w:r>
      <w:r w:rsidR="00F548D3">
        <w:t xml:space="preserve"> </w:t>
      </w:r>
      <w:r w:rsidR="00B4037D">
        <w:t>(in LKFS/dBPa) is determined as the difference between the loudness (in LKFS) at the IVAS encoder of the UE and the acoustic overall level (in dBPa) determined by the simulated free-field propagation between MRP and UE input microphones.</w:t>
      </w:r>
    </w:p>
    <w:p w14:paraId="13DB98F6" w14:textId="77777777" w:rsidR="008742A6" w:rsidRDefault="008742A6" w:rsidP="008742A6"/>
    <w:p w14:paraId="71F40F1E" w14:textId="53299626" w:rsidR="008742A6" w:rsidRDefault="008742A6" w:rsidP="008742A6">
      <w:pPr>
        <w:pStyle w:val="Heading1"/>
      </w:pPr>
      <w:r>
        <w:t>Example results</w:t>
      </w:r>
    </w:p>
    <w:p w14:paraId="75AA406A" w14:textId="70A2DABC" w:rsidR="008742A6" w:rsidRDefault="008742A6" w:rsidP="00035E85">
      <w:pPr>
        <w:pStyle w:val="00BodyText"/>
      </w:pPr>
      <w:r>
        <w:t>Example parameters</w:t>
      </w:r>
    </w:p>
    <w:p w14:paraId="40619B14" w14:textId="198741B6" w:rsidR="00F548D3" w:rsidRDefault="00F548D3" w:rsidP="008742A6">
      <w:pPr>
        <w:pStyle w:val="ListParagraph"/>
        <w:numPr>
          <w:ilvl w:val="0"/>
          <w:numId w:val="7"/>
        </w:numPr>
      </w:pPr>
      <w:r>
        <w:t xml:space="preserve">Default distance MRP-&gt;UE-input: 30 cm </w:t>
      </w:r>
    </w:p>
    <w:p w14:paraId="31DEF382" w14:textId="75E3D4A4" w:rsidR="008742A6" w:rsidRDefault="008742A6" w:rsidP="008742A6">
      <w:pPr>
        <w:pStyle w:val="ListParagraph"/>
        <w:numPr>
          <w:ilvl w:val="0"/>
          <w:numId w:val="7"/>
        </w:numPr>
      </w:pPr>
      <w:r>
        <w:t xml:space="preserve">Coded format set to </w:t>
      </w:r>
      <w:r>
        <w:t>7.1.4</w:t>
      </w:r>
      <w:r>
        <w:t xml:space="preserve"> (simplifies loudness calculations according to ITU-R BS 1770)</w:t>
      </w:r>
    </w:p>
    <w:p w14:paraId="3F8ED757" w14:textId="1C169BC6" w:rsidR="008742A6" w:rsidRDefault="008742A6" w:rsidP="008742A6">
      <w:pPr>
        <w:pStyle w:val="ListParagraph"/>
        <w:numPr>
          <w:ilvl w:val="0"/>
          <w:numId w:val="7"/>
        </w:numPr>
      </w:pPr>
      <w:r>
        <w:t>B</w:t>
      </w:r>
      <w:r>
        <w:t xml:space="preserve">itrate of 512 kbit/s </w:t>
      </w:r>
      <w:r>
        <w:sym w:font="Wingdings" w:char="F0E0"/>
      </w:r>
      <w:r>
        <w:t xml:space="preserve"> </w:t>
      </w:r>
      <w:r>
        <w:t>d</w:t>
      </w:r>
      <w:r w:rsidRPr="008742A6">
        <w:rPr>
          <w:vertAlign w:val="subscript"/>
        </w:rPr>
        <w:t>1</w:t>
      </w:r>
      <w:r>
        <w:t xml:space="preserve"> </w:t>
      </w:r>
      <w:r>
        <w:t xml:space="preserve">&lt; </w:t>
      </w:r>
      <w:r>
        <w:t>0.</w:t>
      </w:r>
      <w:r w:rsidR="00257C80">
        <w:t>0</w:t>
      </w:r>
      <w:r w:rsidR="00035E85">
        <w:t>1</w:t>
      </w:r>
      <w:r>
        <w:t xml:space="preserve"> LKFS.</w:t>
      </w:r>
    </w:p>
    <w:p w14:paraId="122A154B" w14:textId="77777777" w:rsidR="008742A6" w:rsidRDefault="008742A6" w:rsidP="008742A6"/>
    <w:p w14:paraId="6843A003" w14:textId="359A787F" w:rsidR="00F548D3" w:rsidRDefault="00F548D3" w:rsidP="00035E85">
      <w:pPr>
        <w:pStyle w:val="00BodyText"/>
      </w:pPr>
      <w:r>
        <w:t>Results</w:t>
      </w:r>
    </w:p>
    <w:p w14:paraId="56086DCD" w14:textId="2803C853" w:rsidR="00F548D3" w:rsidRPr="00F548D3" w:rsidRDefault="00F548D3" w:rsidP="00F548D3">
      <w:pPr>
        <w:pStyle w:val="Caption"/>
        <w:keepNext/>
        <w:jc w:val="center"/>
        <w:rPr>
          <w:rFonts w:ascii="Arial" w:hAnsi="Arial" w:cs="Arial"/>
          <w:b/>
          <w:bCs/>
          <w:i w:val="0"/>
          <w:iCs w:val="0"/>
        </w:rPr>
      </w:pPr>
      <w:r w:rsidRPr="00F548D3">
        <w:rPr>
          <w:rFonts w:ascii="Arial" w:hAnsi="Arial" w:cs="Arial"/>
          <w:b/>
          <w:bCs/>
          <w:i w:val="0"/>
          <w:iCs w:val="0"/>
        </w:rPr>
        <w:t xml:space="preserve">Table </w:t>
      </w:r>
      <w:r w:rsidRPr="00F548D3">
        <w:rPr>
          <w:rFonts w:ascii="Arial" w:hAnsi="Arial" w:cs="Arial"/>
          <w:b/>
          <w:bCs/>
          <w:i w:val="0"/>
          <w:iCs w:val="0"/>
        </w:rPr>
        <w:fldChar w:fldCharType="begin"/>
      </w:r>
      <w:r w:rsidRPr="00F548D3">
        <w:rPr>
          <w:rFonts w:ascii="Arial" w:hAnsi="Arial" w:cs="Arial"/>
          <w:b/>
          <w:bCs/>
          <w:i w:val="0"/>
          <w:iCs w:val="0"/>
        </w:rPr>
        <w:instrText xml:space="preserve"> SEQ Table \* ARABIC </w:instrText>
      </w:r>
      <w:r w:rsidRPr="00F548D3">
        <w:rPr>
          <w:rFonts w:ascii="Arial" w:hAnsi="Arial" w:cs="Arial"/>
          <w:b/>
          <w:bCs/>
          <w:i w:val="0"/>
          <w:iCs w:val="0"/>
        </w:rPr>
        <w:fldChar w:fldCharType="separate"/>
      </w:r>
      <w:r w:rsidRPr="00F548D3">
        <w:rPr>
          <w:rFonts w:ascii="Arial" w:hAnsi="Arial" w:cs="Arial"/>
          <w:b/>
          <w:bCs/>
          <w:i w:val="0"/>
          <w:iCs w:val="0"/>
          <w:noProof/>
        </w:rPr>
        <w:t>1</w:t>
      </w:r>
      <w:r w:rsidRPr="00F548D3">
        <w:rPr>
          <w:rFonts w:ascii="Arial" w:hAnsi="Arial" w:cs="Arial"/>
          <w:b/>
          <w:bCs/>
          <w:i w:val="0"/>
          <w:iCs w:val="0"/>
        </w:rPr>
        <w:fldChar w:fldCharType="end"/>
      </w:r>
      <w:r w:rsidRPr="00F548D3">
        <w:rPr>
          <w:rFonts w:ascii="Arial" w:hAnsi="Arial" w:cs="Arial"/>
          <w:b/>
          <w:bCs/>
          <w:i w:val="0"/>
          <w:iCs w:val="0"/>
        </w:rPr>
        <w:t>: Resulting example levels</w:t>
      </w:r>
      <w:r w:rsidR="00035E85">
        <w:rPr>
          <w:rFonts w:ascii="Arial" w:hAnsi="Arial" w:cs="Arial"/>
          <w:b/>
          <w:bCs/>
          <w:i w:val="0"/>
          <w:iCs w:val="0"/>
        </w:rPr>
        <w:t xml:space="preserve"> to obtain SLR = 13 dB</w:t>
      </w:r>
    </w:p>
    <w:tbl>
      <w:tblPr>
        <w:tblStyle w:val="TableGrid"/>
        <w:tblW w:w="0" w:type="auto"/>
        <w:jc w:val="center"/>
        <w:tblLook w:val="04A0" w:firstRow="1" w:lastRow="0" w:firstColumn="1" w:lastColumn="0" w:noHBand="0" w:noVBand="1"/>
      </w:tblPr>
      <w:tblGrid>
        <w:gridCol w:w="3285"/>
        <w:gridCol w:w="3285"/>
      </w:tblGrid>
      <w:tr w:rsidR="00F548D3" w:rsidRPr="00035E85" w14:paraId="704E4315" w14:textId="77777777" w:rsidTr="00F548D3">
        <w:trPr>
          <w:jc w:val="center"/>
        </w:trPr>
        <w:tc>
          <w:tcPr>
            <w:tcW w:w="3285" w:type="dxa"/>
          </w:tcPr>
          <w:p w14:paraId="40C36BE5" w14:textId="647059CD" w:rsidR="00F548D3" w:rsidRPr="00035E85" w:rsidRDefault="00F548D3" w:rsidP="00035E85">
            <w:pPr>
              <w:jc w:val="center"/>
              <w:rPr>
                <w:rFonts w:ascii="Arial" w:hAnsi="Arial" w:cs="Arial"/>
                <w:b/>
                <w:bCs/>
                <w:sz w:val="18"/>
                <w:szCs w:val="18"/>
              </w:rPr>
            </w:pPr>
            <w:r w:rsidRPr="00035E85">
              <w:rPr>
                <w:rFonts w:ascii="Arial" w:hAnsi="Arial" w:cs="Arial"/>
                <w:b/>
                <w:bCs/>
                <w:sz w:val="18"/>
                <w:szCs w:val="18"/>
              </w:rPr>
              <w:t>Variable</w:t>
            </w:r>
          </w:p>
        </w:tc>
        <w:tc>
          <w:tcPr>
            <w:tcW w:w="3285" w:type="dxa"/>
          </w:tcPr>
          <w:p w14:paraId="240F0C0E" w14:textId="20D1E299" w:rsidR="00F548D3" w:rsidRPr="00035E85" w:rsidRDefault="00F548D3" w:rsidP="00035E85">
            <w:pPr>
              <w:jc w:val="center"/>
              <w:rPr>
                <w:rFonts w:ascii="Arial" w:hAnsi="Arial" w:cs="Arial"/>
                <w:b/>
                <w:bCs/>
                <w:sz w:val="18"/>
                <w:szCs w:val="18"/>
              </w:rPr>
            </w:pPr>
            <w:r w:rsidRPr="00035E85">
              <w:rPr>
                <w:rFonts w:ascii="Arial" w:hAnsi="Arial" w:cs="Arial"/>
                <w:b/>
                <w:bCs/>
                <w:sz w:val="18"/>
                <w:szCs w:val="18"/>
              </w:rPr>
              <w:t>Value</w:t>
            </w:r>
          </w:p>
        </w:tc>
      </w:tr>
      <w:tr w:rsidR="00F548D3" w:rsidRPr="00035E85" w14:paraId="77F58B5D" w14:textId="77777777" w:rsidTr="00F548D3">
        <w:trPr>
          <w:jc w:val="center"/>
        </w:trPr>
        <w:tc>
          <w:tcPr>
            <w:tcW w:w="3285" w:type="dxa"/>
          </w:tcPr>
          <w:p w14:paraId="78F22CB3" w14:textId="603FE85E" w:rsidR="00F548D3" w:rsidRPr="00035E85" w:rsidRDefault="00F548D3" w:rsidP="00035E85">
            <w:pPr>
              <w:jc w:val="center"/>
              <w:rPr>
                <w:rFonts w:ascii="Arial" w:hAnsi="Arial" w:cs="Arial"/>
                <w:sz w:val="18"/>
                <w:szCs w:val="18"/>
              </w:rPr>
            </w:pPr>
            <w:r w:rsidRPr="00035E85">
              <w:rPr>
                <w:rFonts w:ascii="Arial" w:hAnsi="Arial" w:cs="Arial"/>
                <w:sz w:val="18"/>
                <w:szCs w:val="18"/>
              </w:rPr>
              <w:t>L</w:t>
            </w:r>
            <w:r w:rsidRPr="00035E85">
              <w:rPr>
                <w:rFonts w:ascii="Arial" w:hAnsi="Arial" w:cs="Arial"/>
                <w:sz w:val="18"/>
                <w:szCs w:val="18"/>
                <w:vertAlign w:val="subscript"/>
              </w:rPr>
              <w:t>ASL, MRP</w:t>
            </w:r>
          </w:p>
        </w:tc>
        <w:tc>
          <w:tcPr>
            <w:tcW w:w="3285" w:type="dxa"/>
          </w:tcPr>
          <w:p w14:paraId="7DA9D8F8" w14:textId="08C0C7A5" w:rsidR="00F548D3" w:rsidRPr="00035E85" w:rsidRDefault="00F548D3" w:rsidP="00035E85">
            <w:pPr>
              <w:jc w:val="center"/>
              <w:rPr>
                <w:rFonts w:ascii="Arial" w:hAnsi="Arial" w:cs="Arial"/>
                <w:sz w:val="18"/>
                <w:szCs w:val="18"/>
              </w:rPr>
            </w:pPr>
            <w:r w:rsidRPr="00035E85">
              <w:rPr>
                <w:rFonts w:ascii="Arial" w:hAnsi="Arial" w:cs="Arial"/>
                <w:sz w:val="18"/>
                <w:szCs w:val="18"/>
              </w:rPr>
              <w:t>-1.7 dBPa</w:t>
            </w:r>
          </w:p>
        </w:tc>
      </w:tr>
      <w:tr w:rsidR="00F548D3" w:rsidRPr="00035E85" w14:paraId="64A3BB64" w14:textId="77777777" w:rsidTr="00F548D3">
        <w:trPr>
          <w:jc w:val="center"/>
        </w:trPr>
        <w:tc>
          <w:tcPr>
            <w:tcW w:w="3285" w:type="dxa"/>
          </w:tcPr>
          <w:p w14:paraId="19A78DE0" w14:textId="4360DBFA" w:rsidR="00F548D3" w:rsidRPr="00035E85" w:rsidRDefault="00F548D3" w:rsidP="00035E85">
            <w:pPr>
              <w:jc w:val="center"/>
              <w:rPr>
                <w:rFonts w:ascii="Arial" w:hAnsi="Arial" w:cs="Arial"/>
                <w:sz w:val="18"/>
                <w:szCs w:val="18"/>
              </w:rPr>
            </w:pPr>
            <w:r w:rsidRPr="00035E85">
              <w:rPr>
                <w:rFonts w:ascii="Arial" w:hAnsi="Arial" w:cs="Arial"/>
                <w:sz w:val="18"/>
                <w:szCs w:val="18"/>
              </w:rPr>
              <w:t>L</w:t>
            </w:r>
            <w:r w:rsidRPr="00035E85">
              <w:rPr>
                <w:rFonts w:ascii="Arial" w:hAnsi="Arial" w:cs="Arial"/>
                <w:sz w:val="18"/>
                <w:szCs w:val="18"/>
                <w:vertAlign w:val="subscript"/>
              </w:rPr>
              <w:t>ASL, UE-in</w:t>
            </w:r>
          </w:p>
        </w:tc>
        <w:tc>
          <w:tcPr>
            <w:tcW w:w="3285" w:type="dxa"/>
          </w:tcPr>
          <w:p w14:paraId="4BFA83EB" w14:textId="19772E63" w:rsidR="00F548D3" w:rsidRPr="00035E85" w:rsidRDefault="00B56BCE" w:rsidP="00035E85">
            <w:pPr>
              <w:jc w:val="center"/>
              <w:rPr>
                <w:rFonts w:ascii="Arial" w:hAnsi="Arial" w:cs="Arial"/>
                <w:sz w:val="18"/>
                <w:szCs w:val="18"/>
              </w:rPr>
            </w:pPr>
            <w:r w:rsidRPr="00035E85">
              <w:rPr>
                <w:rFonts w:ascii="Arial" w:hAnsi="Arial" w:cs="Arial"/>
                <w:sz w:val="18"/>
                <w:szCs w:val="18"/>
              </w:rPr>
              <w:t>-21.3 dBPa</w:t>
            </w:r>
          </w:p>
        </w:tc>
      </w:tr>
      <w:tr w:rsidR="00257C80" w:rsidRPr="00035E85" w14:paraId="64BEB958" w14:textId="77777777" w:rsidTr="00F548D3">
        <w:trPr>
          <w:jc w:val="center"/>
        </w:trPr>
        <w:tc>
          <w:tcPr>
            <w:tcW w:w="3285" w:type="dxa"/>
          </w:tcPr>
          <w:p w14:paraId="61B1C18A" w14:textId="652F110C" w:rsidR="00257C80" w:rsidRPr="00035E85" w:rsidRDefault="00257C80" w:rsidP="00035E85">
            <w:pPr>
              <w:jc w:val="center"/>
              <w:rPr>
                <w:rFonts w:ascii="Arial" w:hAnsi="Arial" w:cs="Arial"/>
                <w:sz w:val="18"/>
                <w:szCs w:val="18"/>
              </w:rPr>
            </w:pPr>
            <w:r w:rsidRPr="00035E85">
              <w:rPr>
                <w:rFonts w:ascii="Arial" w:hAnsi="Arial" w:cs="Arial"/>
                <w:sz w:val="18"/>
                <w:szCs w:val="18"/>
              </w:rPr>
              <w:t>S</w:t>
            </w:r>
            <w:r w:rsidRPr="00035E85">
              <w:rPr>
                <w:rFonts w:ascii="Arial" w:hAnsi="Arial" w:cs="Arial"/>
                <w:sz w:val="18"/>
                <w:szCs w:val="18"/>
                <w:vertAlign w:val="subscript"/>
              </w:rPr>
              <w:t>ac2el</w:t>
            </w:r>
          </w:p>
        </w:tc>
        <w:tc>
          <w:tcPr>
            <w:tcW w:w="3285" w:type="dxa"/>
          </w:tcPr>
          <w:p w14:paraId="7B5AC82F" w14:textId="59ADDEA9" w:rsidR="00257C80" w:rsidRPr="00035E85" w:rsidRDefault="00257C80" w:rsidP="00035E85">
            <w:pPr>
              <w:jc w:val="center"/>
              <w:rPr>
                <w:rFonts w:ascii="Arial" w:hAnsi="Arial" w:cs="Arial"/>
                <w:sz w:val="18"/>
                <w:szCs w:val="18"/>
              </w:rPr>
            </w:pPr>
            <w:r w:rsidRPr="00035E85">
              <w:rPr>
                <w:rFonts w:ascii="Arial" w:hAnsi="Arial" w:cs="Arial"/>
                <w:sz w:val="18"/>
                <w:szCs w:val="18"/>
              </w:rPr>
              <w:t>-3.60 LKFS/dBPa</w:t>
            </w:r>
          </w:p>
        </w:tc>
      </w:tr>
      <w:tr w:rsidR="00257C80" w:rsidRPr="00035E85" w14:paraId="2BB6BFB0" w14:textId="77777777" w:rsidTr="00F548D3">
        <w:trPr>
          <w:jc w:val="center"/>
        </w:trPr>
        <w:tc>
          <w:tcPr>
            <w:tcW w:w="3285" w:type="dxa"/>
          </w:tcPr>
          <w:p w14:paraId="533722C5" w14:textId="78FC02E4" w:rsidR="00257C80" w:rsidRPr="00035E85" w:rsidRDefault="00035E85" w:rsidP="00035E85">
            <w:pPr>
              <w:jc w:val="center"/>
              <w:rPr>
                <w:rFonts w:ascii="Arial" w:hAnsi="Arial" w:cs="Arial"/>
                <w:sz w:val="18"/>
                <w:szCs w:val="18"/>
              </w:rPr>
            </w:pPr>
            <w:r w:rsidRPr="00035E85">
              <w:rPr>
                <w:rFonts w:ascii="Arial" w:hAnsi="Arial" w:cs="Arial"/>
                <w:sz w:val="18"/>
                <w:szCs w:val="18"/>
              </w:rPr>
              <w:t>L</w:t>
            </w:r>
            <w:r w:rsidRPr="00035E85">
              <w:rPr>
                <w:rFonts w:ascii="Arial" w:hAnsi="Arial" w:cs="Arial"/>
                <w:sz w:val="18"/>
                <w:szCs w:val="18"/>
                <w:vertAlign w:val="subscript"/>
              </w:rPr>
              <w:t>Enc</w:t>
            </w:r>
          </w:p>
        </w:tc>
        <w:tc>
          <w:tcPr>
            <w:tcW w:w="3285" w:type="dxa"/>
          </w:tcPr>
          <w:p w14:paraId="053DB789" w14:textId="3CF51FF2" w:rsidR="00257C80" w:rsidRPr="00035E85" w:rsidRDefault="00257C80" w:rsidP="00035E85">
            <w:pPr>
              <w:jc w:val="center"/>
              <w:rPr>
                <w:rFonts w:ascii="Arial" w:hAnsi="Arial" w:cs="Arial"/>
                <w:sz w:val="18"/>
                <w:szCs w:val="18"/>
              </w:rPr>
            </w:pPr>
            <w:r w:rsidRPr="00035E85">
              <w:rPr>
                <w:rFonts w:ascii="Arial" w:hAnsi="Arial" w:cs="Arial"/>
                <w:sz w:val="18"/>
                <w:szCs w:val="18"/>
              </w:rPr>
              <w:t>-24.95 LKFS</w:t>
            </w:r>
          </w:p>
        </w:tc>
      </w:tr>
      <w:tr w:rsidR="00035E85" w:rsidRPr="00035E85" w14:paraId="69374C88" w14:textId="77777777" w:rsidTr="00F548D3">
        <w:trPr>
          <w:jc w:val="center"/>
        </w:trPr>
        <w:tc>
          <w:tcPr>
            <w:tcW w:w="3285" w:type="dxa"/>
          </w:tcPr>
          <w:p w14:paraId="3369DBD0" w14:textId="3F321E90" w:rsidR="00035E85" w:rsidRPr="00035E85" w:rsidRDefault="00035E85" w:rsidP="00035E85">
            <w:pPr>
              <w:jc w:val="center"/>
              <w:rPr>
                <w:rFonts w:ascii="Arial" w:hAnsi="Arial" w:cs="Arial"/>
                <w:sz w:val="18"/>
                <w:szCs w:val="18"/>
              </w:rPr>
            </w:pPr>
            <w:r w:rsidRPr="00035E85">
              <w:rPr>
                <w:rFonts w:ascii="Arial" w:hAnsi="Arial" w:cs="Arial"/>
                <w:sz w:val="18"/>
                <w:szCs w:val="18"/>
              </w:rPr>
              <w:t>L</w:t>
            </w:r>
            <w:r w:rsidRPr="00035E85">
              <w:rPr>
                <w:rFonts w:ascii="Arial" w:hAnsi="Arial" w:cs="Arial"/>
                <w:sz w:val="18"/>
                <w:szCs w:val="18"/>
                <w:vertAlign w:val="subscript"/>
              </w:rPr>
              <w:t>EncDec</w:t>
            </w:r>
          </w:p>
        </w:tc>
        <w:tc>
          <w:tcPr>
            <w:tcW w:w="3285" w:type="dxa"/>
          </w:tcPr>
          <w:p w14:paraId="7F227D8B" w14:textId="0CC6EBA4" w:rsidR="00035E85" w:rsidRPr="00035E85" w:rsidRDefault="00035E85" w:rsidP="00035E85">
            <w:pPr>
              <w:jc w:val="center"/>
              <w:rPr>
                <w:rFonts w:ascii="Arial" w:hAnsi="Arial" w:cs="Arial"/>
                <w:sz w:val="18"/>
                <w:szCs w:val="18"/>
              </w:rPr>
            </w:pPr>
            <w:r w:rsidRPr="00035E85">
              <w:rPr>
                <w:rFonts w:ascii="Arial" w:hAnsi="Arial" w:cs="Arial"/>
                <w:sz w:val="18"/>
                <w:szCs w:val="18"/>
              </w:rPr>
              <w:t>-24.95 LKFS</w:t>
            </w:r>
          </w:p>
        </w:tc>
      </w:tr>
      <w:tr w:rsidR="00F548D3" w:rsidRPr="00035E85" w14:paraId="1D4EAC4D" w14:textId="77777777" w:rsidTr="00F548D3">
        <w:trPr>
          <w:jc w:val="center"/>
        </w:trPr>
        <w:tc>
          <w:tcPr>
            <w:tcW w:w="3285" w:type="dxa"/>
          </w:tcPr>
          <w:p w14:paraId="1827361A" w14:textId="4A082F91" w:rsidR="00F548D3" w:rsidRPr="00035E85" w:rsidRDefault="00F548D3" w:rsidP="00035E85">
            <w:pPr>
              <w:jc w:val="center"/>
              <w:rPr>
                <w:rFonts w:ascii="Arial" w:hAnsi="Arial" w:cs="Arial"/>
                <w:sz w:val="18"/>
                <w:szCs w:val="18"/>
              </w:rPr>
            </w:pPr>
            <w:r w:rsidRPr="00035E85">
              <w:rPr>
                <w:rFonts w:ascii="Arial" w:hAnsi="Arial" w:cs="Arial"/>
                <w:sz w:val="18"/>
                <w:szCs w:val="18"/>
              </w:rPr>
              <w:t>L</w:t>
            </w:r>
            <w:r w:rsidRPr="00035E85">
              <w:rPr>
                <w:rFonts w:ascii="Arial" w:hAnsi="Arial" w:cs="Arial"/>
                <w:sz w:val="18"/>
                <w:szCs w:val="18"/>
                <w:vertAlign w:val="subscript"/>
              </w:rPr>
              <w:t>ASL,mono</w:t>
            </w:r>
          </w:p>
        </w:tc>
        <w:tc>
          <w:tcPr>
            <w:tcW w:w="3285" w:type="dxa"/>
          </w:tcPr>
          <w:p w14:paraId="33534A1B" w14:textId="32BE248C" w:rsidR="00F548D3" w:rsidRPr="00035E85" w:rsidRDefault="00F548D3" w:rsidP="00035E85">
            <w:pPr>
              <w:jc w:val="center"/>
              <w:rPr>
                <w:rFonts w:ascii="Arial" w:hAnsi="Arial" w:cs="Arial"/>
                <w:sz w:val="18"/>
                <w:szCs w:val="18"/>
              </w:rPr>
            </w:pPr>
            <w:r w:rsidRPr="00035E85">
              <w:rPr>
                <w:rFonts w:ascii="Arial" w:hAnsi="Arial" w:cs="Arial"/>
                <w:sz w:val="18"/>
                <w:szCs w:val="18"/>
              </w:rPr>
              <w:t>-25.34 dBov</w:t>
            </w:r>
          </w:p>
        </w:tc>
      </w:tr>
    </w:tbl>
    <w:p w14:paraId="26901A1F" w14:textId="77777777" w:rsidR="00F548D3" w:rsidRDefault="00F548D3" w:rsidP="008742A6"/>
    <w:p w14:paraId="32A3B3D8" w14:textId="4BE7527B" w:rsidR="00FA196A" w:rsidRDefault="00FA196A" w:rsidP="00035E85">
      <w:pPr>
        <w:pStyle w:val="Heading1"/>
        <w:ind w:left="0" w:firstLine="0"/>
      </w:pPr>
      <w:r>
        <w:t>Conclusion</w:t>
      </w:r>
    </w:p>
    <w:p w14:paraId="4DF2B9C6" w14:textId="4BD91C5D" w:rsidR="00CB7762" w:rsidRDefault="00FA196A" w:rsidP="00F94786">
      <w:r>
        <w:t>At least for the considered example</w:t>
      </w:r>
      <w:r w:rsidR="00035E85">
        <w:t xml:space="preserve"> shown</w:t>
      </w:r>
      <w:r>
        <w:t xml:space="preserve"> in the present document, </w:t>
      </w:r>
      <w:r w:rsidR="002E15BC">
        <w:t xml:space="preserve">the test method currently </w:t>
      </w:r>
      <w:r w:rsidR="002E15BC">
        <w:t>specified</w:t>
      </w:r>
      <w:r w:rsidR="002E15BC">
        <w:t xml:space="preserve"> in </w:t>
      </w:r>
      <w:r w:rsidR="002E15BC">
        <w:t>3GPP TS 26.260</w:t>
      </w:r>
      <w:r w:rsidR="002E15BC">
        <w:t xml:space="preserve"> (as well as the current </w:t>
      </w:r>
      <w:r w:rsidR="002E15BC">
        <w:t>requirement</w:t>
      </w:r>
      <w:r w:rsidR="002E15BC">
        <w:t xml:space="preserve"> of a target SLR = 13 dB) </w:t>
      </w:r>
      <w:r>
        <w:t xml:space="preserve">seems applicable </w:t>
      </w:r>
      <w:r w:rsidR="002E15BC">
        <w:t xml:space="preserve">and </w:t>
      </w:r>
      <w:r w:rsidR="002E15BC">
        <w:t xml:space="preserve">reasonable </w:t>
      </w:r>
      <w:r>
        <w:t>for testing IVAS-capable UEs.</w:t>
      </w:r>
      <w:r w:rsidR="00CB7762">
        <w:t xml:space="preserve"> </w:t>
      </w:r>
      <w:r w:rsidR="002E15BC">
        <w:t xml:space="preserve">Loudness results for encoder input, decoder output and </w:t>
      </w:r>
      <w:r w:rsidR="0012578C">
        <w:t xml:space="preserve">the active speech level after mono downmix are close to the "expected" optimum/target values of -26 dBov and -26 LKFS, respectively. For this reason, there seems to be no need to adapt the currently specified test method and requirements. </w:t>
      </w:r>
      <w:r w:rsidR="00CB7762">
        <w:t xml:space="preserve">However, </w:t>
      </w:r>
      <w:r w:rsidR="0012578C">
        <w:t xml:space="preserve">the </w:t>
      </w:r>
      <w:r w:rsidR="00CB7762">
        <w:t xml:space="preserve">several optimum conditions </w:t>
      </w:r>
      <w:r w:rsidR="0012578C">
        <w:t xml:space="preserve">and simplifications </w:t>
      </w:r>
      <w:r w:rsidR="00CB7762">
        <w:t>were assumed, like e.g.,</w:t>
      </w:r>
    </w:p>
    <w:p w14:paraId="607A241C" w14:textId="5105D90E" w:rsidR="00852A9E" w:rsidRDefault="00852A9E" w:rsidP="00CB7762">
      <w:pPr>
        <w:numPr>
          <w:ilvl w:val="0"/>
          <w:numId w:val="6"/>
        </w:numPr>
      </w:pPr>
      <w:r>
        <w:t xml:space="preserve">acoustic path simulated </w:t>
      </w:r>
      <w:r w:rsidR="002E15BC">
        <w:t xml:space="preserve">only </w:t>
      </w:r>
      <w:r>
        <w:t xml:space="preserve">with free-field propagation </w:t>
      </w:r>
      <w:r w:rsidR="002E15BC">
        <w:t xml:space="preserve">and level loss </w:t>
      </w:r>
      <w:r>
        <w:t>(might be realistic at least for handheld hands-free)</w:t>
      </w:r>
    </w:p>
    <w:p w14:paraId="798A0AA5" w14:textId="416E7F8C" w:rsidR="00E75B9D" w:rsidRDefault="002E15BC" w:rsidP="00CB7762">
      <w:pPr>
        <w:numPr>
          <w:ilvl w:val="0"/>
          <w:numId w:val="6"/>
        </w:numPr>
      </w:pPr>
      <w:r>
        <w:t xml:space="preserve">encoding/decoding </w:t>
      </w:r>
      <w:r>
        <w:t>is almost transparent (</w:t>
      </w:r>
      <w:r w:rsidR="00E75B9D">
        <w:t>regarding level and frequency response</w:t>
      </w:r>
      <w:r>
        <w:t>) at the considered high bitrate</w:t>
      </w:r>
    </w:p>
    <w:p w14:paraId="60D9501B" w14:textId="4D4DB247" w:rsidR="00E75B9D" w:rsidRDefault="002E15BC" w:rsidP="00CB7762">
      <w:pPr>
        <w:numPr>
          <w:ilvl w:val="0"/>
          <w:numId w:val="6"/>
        </w:numPr>
      </w:pPr>
      <w:r>
        <w:t xml:space="preserve">loudness </w:t>
      </w:r>
      <w:r w:rsidR="00E75B9D">
        <w:t>calculation</w:t>
      </w:r>
      <w:r>
        <w:t>s</w:t>
      </w:r>
      <w:r w:rsidR="00E75B9D">
        <w:t xml:space="preserve"> </w:t>
      </w:r>
      <w:r>
        <w:t xml:space="preserve">according to Recommendation ITU-R BS 1770 </w:t>
      </w:r>
      <w:r w:rsidR="00E75B9D">
        <w:t xml:space="preserve">for all IVAS coded formats </w:t>
      </w:r>
      <w:r>
        <w:t xml:space="preserve">other than multichannel &amp; stereo </w:t>
      </w:r>
      <w:r>
        <w:t>rel</w:t>
      </w:r>
      <w:r>
        <w:t>y</w:t>
      </w:r>
      <w:r>
        <w:t xml:space="preserve"> on</w:t>
      </w:r>
      <w:r>
        <w:t xml:space="preserve"> IVAS external renderer (with 7.1.4 output)</w:t>
      </w:r>
    </w:p>
    <w:p w14:paraId="26B7CC49" w14:textId="473FD728" w:rsidR="0012578C" w:rsidRDefault="0012578C" w:rsidP="00CB7762">
      <w:pPr>
        <w:numPr>
          <w:ilvl w:val="0"/>
          <w:numId w:val="6"/>
        </w:numPr>
      </w:pPr>
      <w:r>
        <w:t>approach not tested yet with different coded audio formats (</w:t>
      </w:r>
      <w:r>
        <w:t>work in progress</w:t>
      </w:r>
      <w:r>
        <w:t xml:space="preserve"> - more results are available soon)</w:t>
      </w:r>
    </w:p>
    <w:p w14:paraId="6F7EEF04" w14:textId="77777777" w:rsidR="00E11ED4" w:rsidRDefault="00E11ED4" w:rsidP="00F94786"/>
    <w:p w14:paraId="7E543A7F" w14:textId="4E38041B" w:rsidR="0012578C" w:rsidRDefault="00E11ED4" w:rsidP="00F94786">
      <w:r>
        <w:t>The mostly theoretically derived data should be confirmed and supported as soon as possible with measurement results from real IVAS-enabled devices.</w:t>
      </w:r>
    </w:p>
    <w:p w14:paraId="205B1D56" w14:textId="05CF4582" w:rsidR="00CB7762" w:rsidRPr="00F94786" w:rsidRDefault="00CB7762" w:rsidP="00F94786"/>
    <w:sectPr w:rsidR="00CB7762" w:rsidRPr="00F9478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5DE2F" w14:textId="77777777" w:rsidR="00B14EB7" w:rsidRDefault="00B14EB7">
      <w:r>
        <w:separator/>
      </w:r>
    </w:p>
  </w:endnote>
  <w:endnote w:type="continuationSeparator" w:id="0">
    <w:p w14:paraId="0F7DB0C4" w14:textId="77777777" w:rsidR="00B14EB7" w:rsidRDefault="00B14EB7">
      <w:r>
        <w:continuationSeparator/>
      </w:r>
    </w:p>
  </w:endnote>
  <w:endnote w:id="1">
    <w:p w14:paraId="487A2FF8" w14:textId="7BAA4578" w:rsidR="00627EE4" w:rsidRPr="00627EE4" w:rsidRDefault="00627EE4">
      <w:pPr>
        <w:pStyle w:val="EndnoteText"/>
        <w:rPr>
          <w:lang w:val="de-DE"/>
        </w:rPr>
      </w:pPr>
      <w:r>
        <w:rPr>
          <w:rStyle w:val="EndnoteReference"/>
        </w:rPr>
        <w:endnoteRef/>
      </w:r>
      <w:r>
        <w:t xml:space="preserve"> </w:t>
      </w:r>
      <w:r>
        <w:t xml:space="preserve">The sensitivity parameter </w:t>
      </w:r>
      <w:r w:rsidRPr="00035E85">
        <w:rPr>
          <w:rFonts w:ascii="Arial" w:hAnsi="Arial" w:cs="Arial"/>
          <w:sz w:val="18"/>
          <w:szCs w:val="18"/>
        </w:rPr>
        <w:t>S</w:t>
      </w:r>
      <w:r w:rsidRPr="00035E85">
        <w:rPr>
          <w:rFonts w:ascii="Arial" w:hAnsi="Arial" w:cs="Arial"/>
          <w:sz w:val="18"/>
          <w:szCs w:val="18"/>
          <w:vertAlign w:val="subscript"/>
        </w:rPr>
        <w:t>ac2el</w:t>
      </w:r>
      <w:r>
        <w:t xml:space="preserve"> might also be useful for the work item DaCAS.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7F265" w14:textId="77777777" w:rsidR="00B14EB7" w:rsidRDefault="00B14EB7">
      <w:r>
        <w:separator/>
      </w:r>
    </w:p>
  </w:footnote>
  <w:footnote w:type="continuationSeparator" w:id="0">
    <w:p w14:paraId="08107499" w14:textId="77777777" w:rsidR="00B14EB7" w:rsidRDefault="00B14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30ADF"/>
    <w:multiLevelType w:val="hybridMultilevel"/>
    <w:tmpl w:val="82045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E6996"/>
    <w:multiLevelType w:val="hybridMultilevel"/>
    <w:tmpl w:val="F9A49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1C468E"/>
    <w:multiLevelType w:val="hybridMultilevel"/>
    <w:tmpl w:val="A8F66920"/>
    <w:lvl w:ilvl="0" w:tplc="2320CBF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2FFD4571"/>
    <w:multiLevelType w:val="hybridMultilevel"/>
    <w:tmpl w:val="8320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A90815"/>
    <w:multiLevelType w:val="hybridMultilevel"/>
    <w:tmpl w:val="F992092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DFC58D8"/>
    <w:multiLevelType w:val="hybridMultilevel"/>
    <w:tmpl w:val="393AC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462FCA"/>
    <w:multiLevelType w:val="hybridMultilevel"/>
    <w:tmpl w:val="1730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6"/>
  </w:num>
  <w:num w:numId="2" w16cid:durableId="1633753767">
    <w:abstractNumId w:val="4"/>
  </w:num>
  <w:num w:numId="3" w16cid:durableId="528221516">
    <w:abstractNumId w:val="3"/>
  </w:num>
  <w:num w:numId="4" w16cid:durableId="383219088">
    <w:abstractNumId w:val="8"/>
  </w:num>
  <w:num w:numId="5" w16cid:durableId="1825776759">
    <w:abstractNumId w:val="2"/>
  </w:num>
  <w:num w:numId="6" w16cid:durableId="1182360523">
    <w:abstractNumId w:val="5"/>
  </w:num>
  <w:num w:numId="7" w16cid:durableId="2141727549">
    <w:abstractNumId w:val="1"/>
  </w:num>
  <w:num w:numId="8" w16cid:durableId="1964728779">
    <w:abstractNumId w:val="9"/>
  </w:num>
  <w:num w:numId="9" w16cid:durableId="1273366774">
    <w:abstractNumId w:val="0"/>
  </w:num>
  <w:num w:numId="10" w16cid:durableId="12917894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AF"/>
    <w:rsid w:val="0001570A"/>
    <w:rsid w:val="00017267"/>
    <w:rsid w:val="0002191A"/>
    <w:rsid w:val="00030CD4"/>
    <w:rsid w:val="00032935"/>
    <w:rsid w:val="00035E85"/>
    <w:rsid w:val="00046686"/>
    <w:rsid w:val="00046FDD"/>
    <w:rsid w:val="00050235"/>
    <w:rsid w:val="00050925"/>
    <w:rsid w:val="00054884"/>
    <w:rsid w:val="00057E1E"/>
    <w:rsid w:val="00071D76"/>
    <w:rsid w:val="00072A7C"/>
    <w:rsid w:val="000775E7"/>
    <w:rsid w:val="0007775C"/>
    <w:rsid w:val="00094F23"/>
    <w:rsid w:val="000967F4"/>
    <w:rsid w:val="000D6D78"/>
    <w:rsid w:val="000E0429"/>
    <w:rsid w:val="000F6E51"/>
    <w:rsid w:val="00102A24"/>
    <w:rsid w:val="00103FFE"/>
    <w:rsid w:val="001079B0"/>
    <w:rsid w:val="00114571"/>
    <w:rsid w:val="0012578C"/>
    <w:rsid w:val="0013259C"/>
    <w:rsid w:val="00135831"/>
    <w:rsid w:val="001376A6"/>
    <w:rsid w:val="001424CD"/>
    <w:rsid w:val="0014413C"/>
    <w:rsid w:val="0015084C"/>
    <w:rsid w:val="00161CBA"/>
    <w:rsid w:val="00163D28"/>
    <w:rsid w:val="00166A1B"/>
    <w:rsid w:val="00181F38"/>
    <w:rsid w:val="00192B41"/>
    <w:rsid w:val="00197E4A"/>
    <w:rsid w:val="001A0759"/>
    <w:rsid w:val="001A31EF"/>
    <w:rsid w:val="001B01F1"/>
    <w:rsid w:val="001B2414"/>
    <w:rsid w:val="001B5421"/>
    <w:rsid w:val="001B650D"/>
    <w:rsid w:val="001C3A42"/>
    <w:rsid w:val="001D0B09"/>
    <w:rsid w:val="001E5C9E"/>
    <w:rsid w:val="001E6729"/>
    <w:rsid w:val="002070CB"/>
    <w:rsid w:val="00210A9A"/>
    <w:rsid w:val="00211AC9"/>
    <w:rsid w:val="002336BF"/>
    <w:rsid w:val="002344B7"/>
    <w:rsid w:val="00235F9B"/>
    <w:rsid w:val="00236BBA"/>
    <w:rsid w:val="00236D1F"/>
    <w:rsid w:val="002407FF"/>
    <w:rsid w:val="002425AD"/>
    <w:rsid w:val="00250F58"/>
    <w:rsid w:val="002541D3"/>
    <w:rsid w:val="00256429"/>
    <w:rsid w:val="00257C80"/>
    <w:rsid w:val="0026253E"/>
    <w:rsid w:val="00272D61"/>
    <w:rsid w:val="002903AC"/>
    <w:rsid w:val="002919B7"/>
    <w:rsid w:val="00295D61"/>
    <w:rsid w:val="00297597"/>
    <w:rsid w:val="002B074C"/>
    <w:rsid w:val="002B2976"/>
    <w:rsid w:val="002B2FE7"/>
    <w:rsid w:val="002B34EA"/>
    <w:rsid w:val="002B5361"/>
    <w:rsid w:val="002C1BA4"/>
    <w:rsid w:val="002C47B8"/>
    <w:rsid w:val="002E15BC"/>
    <w:rsid w:val="002E397B"/>
    <w:rsid w:val="002E3AE2"/>
    <w:rsid w:val="002F7CCB"/>
    <w:rsid w:val="00310E70"/>
    <w:rsid w:val="00313F3E"/>
    <w:rsid w:val="00320536"/>
    <w:rsid w:val="00325E33"/>
    <w:rsid w:val="00326AF5"/>
    <w:rsid w:val="003275E6"/>
    <w:rsid w:val="0033344B"/>
    <w:rsid w:val="00334E63"/>
    <w:rsid w:val="00354553"/>
    <w:rsid w:val="00392C87"/>
    <w:rsid w:val="003953D1"/>
    <w:rsid w:val="003A5FFA"/>
    <w:rsid w:val="003A67E1"/>
    <w:rsid w:val="003D4593"/>
    <w:rsid w:val="003E2C8B"/>
    <w:rsid w:val="003E710B"/>
    <w:rsid w:val="003F1C0E"/>
    <w:rsid w:val="004008D7"/>
    <w:rsid w:val="0040145D"/>
    <w:rsid w:val="00411339"/>
    <w:rsid w:val="00412F7F"/>
    <w:rsid w:val="004131BD"/>
    <w:rsid w:val="00416CEA"/>
    <w:rsid w:val="00421AFD"/>
    <w:rsid w:val="00432048"/>
    <w:rsid w:val="004518DB"/>
    <w:rsid w:val="00462917"/>
    <w:rsid w:val="004726C5"/>
    <w:rsid w:val="00476F48"/>
    <w:rsid w:val="00477EBC"/>
    <w:rsid w:val="00491355"/>
    <w:rsid w:val="004949E5"/>
    <w:rsid w:val="004A0A73"/>
    <w:rsid w:val="004A661C"/>
    <w:rsid w:val="004C481F"/>
    <w:rsid w:val="004C4C9B"/>
    <w:rsid w:val="004D2FA0"/>
    <w:rsid w:val="004D6D84"/>
    <w:rsid w:val="004E1010"/>
    <w:rsid w:val="0050202A"/>
    <w:rsid w:val="0051310F"/>
    <w:rsid w:val="0052032E"/>
    <w:rsid w:val="005220FF"/>
    <w:rsid w:val="005306EE"/>
    <w:rsid w:val="00535180"/>
    <w:rsid w:val="00537FDC"/>
    <w:rsid w:val="00544D8F"/>
    <w:rsid w:val="00551C4D"/>
    <w:rsid w:val="00553BDE"/>
    <w:rsid w:val="00562495"/>
    <w:rsid w:val="00572890"/>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11B3"/>
    <w:rsid w:val="005F4B34"/>
    <w:rsid w:val="005F6BC1"/>
    <w:rsid w:val="00616E18"/>
    <w:rsid w:val="00623AED"/>
    <w:rsid w:val="0062443C"/>
    <w:rsid w:val="00627EE4"/>
    <w:rsid w:val="00630E5C"/>
    <w:rsid w:val="00632157"/>
    <w:rsid w:val="00633971"/>
    <w:rsid w:val="0064121E"/>
    <w:rsid w:val="00660354"/>
    <w:rsid w:val="00665B9B"/>
    <w:rsid w:val="006928EC"/>
    <w:rsid w:val="006B285A"/>
    <w:rsid w:val="006C3E08"/>
    <w:rsid w:val="006D0FE8"/>
    <w:rsid w:val="006D3D54"/>
    <w:rsid w:val="006E1A49"/>
    <w:rsid w:val="006F1B00"/>
    <w:rsid w:val="006F4B7A"/>
    <w:rsid w:val="006F7727"/>
    <w:rsid w:val="00700A59"/>
    <w:rsid w:val="00710142"/>
    <w:rsid w:val="00712E81"/>
    <w:rsid w:val="00714533"/>
    <w:rsid w:val="00723919"/>
    <w:rsid w:val="007261D3"/>
    <w:rsid w:val="0074596C"/>
    <w:rsid w:val="00762474"/>
    <w:rsid w:val="00777A8D"/>
    <w:rsid w:val="007814A8"/>
    <w:rsid w:val="00781A62"/>
    <w:rsid w:val="00783C0E"/>
    <w:rsid w:val="00787383"/>
    <w:rsid w:val="00791B51"/>
    <w:rsid w:val="00795AD1"/>
    <w:rsid w:val="007B5456"/>
    <w:rsid w:val="007B5F65"/>
    <w:rsid w:val="007C08DE"/>
    <w:rsid w:val="007D3C7C"/>
    <w:rsid w:val="007D6B0A"/>
    <w:rsid w:val="007F6574"/>
    <w:rsid w:val="00815C0B"/>
    <w:rsid w:val="00850CD4"/>
    <w:rsid w:val="00852A9E"/>
    <w:rsid w:val="00854A49"/>
    <w:rsid w:val="008677ED"/>
    <w:rsid w:val="008742A6"/>
    <w:rsid w:val="008A06BE"/>
    <w:rsid w:val="008A56FD"/>
    <w:rsid w:val="008C7287"/>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0BD1"/>
    <w:rsid w:val="009F6047"/>
    <w:rsid w:val="00A03D2A"/>
    <w:rsid w:val="00A10ADB"/>
    <w:rsid w:val="00A12C91"/>
    <w:rsid w:val="00A144AB"/>
    <w:rsid w:val="00A151A1"/>
    <w:rsid w:val="00A16046"/>
    <w:rsid w:val="00A17F01"/>
    <w:rsid w:val="00A24557"/>
    <w:rsid w:val="00A248B2"/>
    <w:rsid w:val="00A27A64"/>
    <w:rsid w:val="00A37F80"/>
    <w:rsid w:val="00A46B3F"/>
    <w:rsid w:val="00A46F30"/>
    <w:rsid w:val="00A61169"/>
    <w:rsid w:val="00A63024"/>
    <w:rsid w:val="00A63C4A"/>
    <w:rsid w:val="00A82FCC"/>
    <w:rsid w:val="00A906A4"/>
    <w:rsid w:val="00A90D5F"/>
    <w:rsid w:val="00AA2DE3"/>
    <w:rsid w:val="00AA574E"/>
    <w:rsid w:val="00AC22EB"/>
    <w:rsid w:val="00AD324E"/>
    <w:rsid w:val="00AD5B51"/>
    <w:rsid w:val="00AD7B78"/>
    <w:rsid w:val="00AF4118"/>
    <w:rsid w:val="00B14EB7"/>
    <w:rsid w:val="00B222CF"/>
    <w:rsid w:val="00B230D4"/>
    <w:rsid w:val="00B3526C"/>
    <w:rsid w:val="00B4037D"/>
    <w:rsid w:val="00B47534"/>
    <w:rsid w:val="00B514BA"/>
    <w:rsid w:val="00B56BCE"/>
    <w:rsid w:val="00B84B54"/>
    <w:rsid w:val="00B92C7D"/>
    <w:rsid w:val="00B93BB2"/>
    <w:rsid w:val="00B9697B"/>
    <w:rsid w:val="00BA46C7"/>
    <w:rsid w:val="00BA4DA4"/>
    <w:rsid w:val="00BB7B45"/>
    <w:rsid w:val="00BC2E5F"/>
    <w:rsid w:val="00BC481E"/>
    <w:rsid w:val="00BC5AF6"/>
    <w:rsid w:val="00BD3E51"/>
    <w:rsid w:val="00BE7472"/>
    <w:rsid w:val="00BF0A84"/>
    <w:rsid w:val="00C03706"/>
    <w:rsid w:val="00C03F46"/>
    <w:rsid w:val="00C13BF9"/>
    <w:rsid w:val="00C159BC"/>
    <w:rsid w:val="00C15A54"/>
    <w:rsid w:val="00C2214E"/>
    <w:rsid w:val="00C2519B"/>
    <w:rsid w:val="00C3782E"/>
    <w:rsid w:val="00C404D1"/>
    <w:rsid w:val="00C42176"/>
    <w:rsid w:val="00C52914"/>
    <w:rsid w:val="00C5567D"/>
    <w:rsid w:val="00C63F06"/>
    <w:rsid w:val="00C6590B"/>
    <w:rsid w:val="00C66496"/>
    <w:rsid w:val="00C7131F"/>
    <w:rsid w:val="00C81982"/>
    <w:rsid w:val="00CA5DB0"/>
    <w:rsid w:val="00CB7762"/>
    <w:rsid w:val="00CC58ED"/>
    <w:rsid w:val="00CD6F2D"/>
    <w:rsid w:val="00CE0CB8"/>
    <w:rsid w:val="00CE555E"/>
    <w:rsid w:val="00D02A1D"/>
    <w:rsid w:val="00D145EC"/>
    <w:rsid w:val="00D315A7"/>
    <w:rsid w:val="00D35761"/>
    <w:rsid w:val="00D436E1"/>
    <w:rsid w:val="00D43C0B"/>
    <w:rsid w:val="00D44A74"/>
    <w:rsid w:val="00D54965"/>
    <w:rsid w:val="00D57CD2"/>
    <w:rsid w:val="00D57E66"/>
    <w:rsid w:val="00D73350"/>
    <w:rsid w:val="00D82231"/>
    <w:rsid w:val="00D86B72"/>
    <w:rsid w:val="00D8756E"/>
    <w:rsid w:val="00D938DD"/>
    <w:rsid w:val="00D974EA"/>
    <w:rsid w:val="00DA7315"/>
    <w:rsid w:val="00DB43A7"/>
    <w:rsid w:val="00DC0F52"/>
    <w:rsid w:val="00DC4726"/>
    <w:rsid w:val="00DD40D2"/>
    <w:rsid w:val="00DE5BBF"/>
    <w:rsid w:val="00E03A99"/>
    <w:rsid w:val="00E041CD"/>
    <w:rsid w:val="00E0455B"/>
    <w:rsid w:val="00E11ED4"/>
    <w:rsid w:val="00E1463F"/>
    <w:rsid w:val="00E3403D"/>
    <w:rsid w:val="00E363A9"/>
    <w:rsid w:val="00E413E0"/>
    <w:rsid w:val="00E53AE3"/>
    <w:rsid w:val="00E5574A"/>
    <w:rsid w:val="00E610B9"/>
    <w:rsid w:val="00E64FB2"/>
    <w:rsid w:val="00E65BAE"/>
    <w:rsid w:val="00E75B9D"/>
    <w:rsid w:val="00E81E2C"/>
    <w:rsid w:val="00EB5D2F"/>
    <w:rsid w:val="00EC10EC"/>
    <w:rsid w:val="00ED6080"/>
    <w:rsid w:val="00EE0176"/>
    <w:rsid w:val="00EE3641"/>
    <w:rsid w:val="00EF0942"/>
    <w:rsid w:val="00EF291F"/>
    <w:rsid w:val="00F0218C"/>
    <w:rsid w:val="00F0393B"/>
    <w:rsid w:val="00F1342A"/>
    <w:rsid w:val="00F313DD"/>
    <w:rsid w:val="00F378BE"/>
    <w:rsid w:val="00F37DEE"/>
    <w:rsid w:val="00F43120"/>
    <w:rsid w:val="00F50469"/>
    <w:rsid w:val="00F548D3"/>
    <w:rsid w:val="00F67211"/>
    <w:rsid w:val="00F763A4"/>
    <w:rsid w:val="00F818A5"/>
    <w:rsid w:val="00F81BA0"/>
    <w:rsid w:val="00F81CF2"/>
    <w:rsid w:val="00F87FD2"/>
    <w:rsid w:val="00F941B8"/>
    <w:rsid w:val="00F94786"/>
    <w:rsid w:val="00F95758"/>
    <w:rsid w:val="00FA196A"/>
    <w:rsid w:val="00FA5FA5"/>
    <w:rsid w:val="00FA79A7"/>
    <w:rsid w:val="00FC0F05"/>
    <w:rsid w:val="00FC28B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rsid w:val="00EE3641"/>
    <w:pPr>
      <w:keepLines/>
      <w:spacing w:after="180"/>
      <w:ind w:left="1135" w:hanging="851"/>
    </w:pPr>
  </w:style>
  <w:style w:type="paragraph" w:styleId="Caption">
    <w:name w:val="caption"/>
    <w:basedOn w:val="Normal"/>
    <w:next w:val="Normal"/>
    <w:unhideWhenUsed/>
    <w:qFormat/>
    <w:rsid w:val="002903AC"/>
    <w:pPr>
      <w:spacing w:after="200"/>
    </w:pPr>
    <w:rPr>
      <w:i/>
      <w:iCs/>
      <w:color w:val="44546A" w:themeColor="text2"/>
      <w:sz w:val="18"/>
      <w:szCs w:val="18"/>
    </w:rPr>
  </w:style>
  <w:style w:type="paragraph" w:styleId="ListParagraph">
    <w:name w:val="List Paragraph"/>
    <w:basedOn w:val="Normal"/>
    <w:uiPriority w:val="34"/>
    <w:qFormat/>
    <w:rsid w:val="00412F7F"/>
    <w:pPr>
      <w:ind w:left="720"/>
      <w:contextualSpacing/>
    </w:pPr>
  </w:style>
  <w:style w:type="table" w:styleId="TableGrid">
    <w:name w:val="Table Grid"/>
    <w:basedOn w:val="TableNormal"/>
    <w:rsid w:val="00F54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627EE4"/>
  </w:style>
  <w:style w:type="character" w:customStyle="1" w:styleId="EndnoteTextChar">
    <w:name w:val="Endnote Text Char"/>
    <w:basedOn w:val="DefaultParagraphFont"/>
    <w:link w:val="EndnoteText"/>
    <w:rsid w:val="00627EE4"/>
    <w:rPr>
      <w:lang w:eastAsia="en-US"/>
    </w:rPr>
  </w:style>
  <w:style w:type="character" w:styleId="EndnoteReference">
    <w:name w:val="endnote reference"/>
    <w:basedOn w:val="DefaultParagraphFont"/>
    <w:rsid w:val="00627E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sv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E2A72-139C-4AEA-A5FA-8270AFEEF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102</cp:revision>
  <cp:lastPrinted>2001-04-23T09:30:00Z</cp:lastPrinted>
  <dcterms:created xsi:type="dcterms:W3CDTF">2019-01-14T13:29:00Z</dcterms:created>
  <dcterms:modified xsi:type="dcterms:W3CDTF">2025-05-13T23:01:00Z</dcterms:modified>
</cp:coreProperties>
</file>